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8B76" w14:textId="2CD88980" w:rsidR="00640285" w:rsidRDefault="00640285">
      <w:r>
        <w:rPr>
          <w:rFonts w:ascii="Arial" w:hAnsi="Arial" w:cs="Arial"/>
          <w:noProof/>
          <w:color w:val="1F497D"/>
        </w:rPr>
        <w:drawing>
          <wp:anchor distT="0" distB="0" distL="114300" distR="114300" simplePos="0" relativeHeight="251655680" behindDoc="1" locked="0" layoutInCell="1" allowOverlap="1" wp14:anchorId="3941EE0A" wp14:editId="4CB2B5AE">
            <wp:simplePos x="0" y="0"/>
            <wp:positionH relativeFrom="column">
              <wp:posOffset>3784600</wp:posOffset>
            </wp:positionH>
            <wp:positionV relativeFrom="paragraph">
              <wp:posOffset>6350</wp:posOffset>
            </wp:positionV>
            <wp:extent cx="1962150" cy="895350"/>
            <wp:effectExtent l="0" t="0" r="0" b="0"/>
            <wp:wrapTight wrapText="bothSides">
              <wp:wrapPolygon edited="0">
                <wp:start x="6920" y="0"/>
                <wp:lineTo x="6501" y="7353"/>
                <wp:lineTo x="0" y="9651"/>
                <wp:lineTo x="0" y="18383"/>
                <wp:lineTo x="2097" y="21140"/>
                <wp:lineTo x="20132" y="21140"/>
                <wp:lineTo x="21390" y="18383"/>
                <wp:lineTo x="21390" y="17464"/>
                <wp:lineTo x="20342" y="14706"/>
                <wp:lineTo x="21390" y="11949"/>
                <wp:lineTo x="21390" y="11030"/>
                <wp:lineTo x="11115" y="7353"/>
                <wp:lineTo x="10905" y="1838"/>
                <wp:lineTo x="10066" y="0"/>
                <wp:lineTo x="6920" y="0"/>
              </wp:wrapPolygon>
            </wp:wrapTight>
            <wp:docPr id="1" name="Picture 1" descr="Description: Description: Btz Logo 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tz Logo Color copy.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2150" cy="895350"/>
                    </a:xfrm>
                    <a:prstGeom prst="rect">
                      <a:avLst/>
                    </a:prstGeom>
                    <a:noFill/>
                    <a:ln>
                      <a:noFill/>
                    </a:ln>
                  </pic:spPr>
                </pic:pic>
              </a:graphicData>
            </a:graphic>
          </wp:anchor>
        </w:drawing>
      </w:r>
      <w:r w:rsidR="00795E08">
        <w:rPr>
          <w:noProof/>
        </w:rPr>
        <w:drawing>
          <wp:inline distT="0" distB="0" distL="0" distR="0" wp14:anchorId="65E7FC73" wp14:editId="1AAA05F2">
            <wp:extent cx="2762250" cy="978297"/>
            <wp:effectExtent l="0" t="0" r="0" b="0"/>
            <wp:docPr id="2" name="Picture 2" descr="W:\CAST Logo\simple\cas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ST Logo\simple\cast-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967" cy="979259"/>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368"/>
        <w:gridCol w:w="360"/>
        <w:gridCol w:w="3915"/>
        <w:gridCol w:w="3915"/>
      </w:tblGrid>
      <w:tr w:rsidR="00E13647" w:rsidRPr="008E2A9E" w14:paraId="02474295" w14:textId="77777777" w:rsidTr="00987EC8">
        <w:trPr>
          <w:cantSplit/>
          <w:trHeight w:val="480"/>
        </w:trPr>
        <w:tc>
          <w:tcPr>
            <w:tcW w:w="1368" w:type="dxa"/>
          </w:tcPr>
          <w:p w14:paraId="53CF3301" w14:textId="77777777" w:rsidR="00E13647" w:rsidRPr="008E2A9E" w:rsidRDefault="00E13647" w:rsidP="00987EC8">
            <w:pPr>
              <w:rPr>
                <w:spacing w:val="-20"/>
                <w:kern w:val="60"/>
                <w:sz w:val="18"/>
              </w:rPr>
            </w:pPr>
          </w:p>
        </w:tc>
        <w:tc>
          <w:tcPr>
            <w:tcW w:w="360" w:type="dxa"/>
          </w:tcPr>
          <w:p w14:paraId="4EE48B66" w14:textId="77777777" w:rsidR="00E13647" w:rsidRPr="008E2A9E" w:rsidRDefault="00E13647" w:rsidP="00987EC8">
            <w:pPr>
              <w:jc w:val="right"/>
              <w:rPr>
                <w:sz w:val="18"/>
              </w:rPr>
            </w:pPr>
          </w:p>
        </w:tc>
        <w:tc>
          <w:tcPr>
            <w:tcW w:w="7830" w:type="dxa"/>
            <w:gridSpan w:val="2"/>
          </w:tcPr>
          <w:p w14:paraId="30C4A052" w14:textId="77777777" w:rsidR="00E13647" w:rsidRPr="008E2A9E" w:rsidRDefault="00E13647" w:rsidP="00987EC8">
            <w:pPr>
              <w:jc w:val="right"/>
              <w:rPr>
                <w:b/>
                <w:sz w:val="18"/>
              </w:rPr>
            </w:pPr>
          </w:p>
        </w:tc>
      </w:tr>
      <w:tr w:rsidR="00E13647" w:rsidRPr="008E2A9E" w14:paraId="2BFECF44" w14:textId="77777777" w:rsidTr="00987EC8">
        <w:trPr>
          <w:cantSplit/>
          <w:trHeight w:val="480"/>
        </w:trPr>
        <w:tc>
          <w:tcPr>
            <w:tcW w:w="1368" w:type="dxa"/>
          </w:tcPr>
          <w:p w14:paraId="02D20AFA" w14:textId="77777777" w:rsidR="00E13647" w:rsidRPr="008E2A9E" w:rsidRDefault="00E13647" w:rsidP="00987EC8">
            <w:pPr>
              <w:pStyle w:val="MemoHeadings"/>
              <w:rPr>
                <w:rFonts w:asciiTheme="minorHAnsi" w:hAnsiTheme="minorHAnsi"/>
                <w:kern w:val="60"/>
              </w:rPr>
            </w:pPr>
            <w:r w:rsidRPr="008E2A9E">
              <w:rPr>
                <w:rFonts w:asciiTheme="minorHAnsi" w:hAnsiTheme="minorHAnsi"/>
                <w:kern w:val="60"/>
              </w:rPr>
              <w:t>To:</w:t>
            </w:r>
          </w:p>
        </w:tc>
        <w:tc>
          <w:tcPr>
            <w:tcW w:w="360" w:type="dxa"/>
            <w:tcBorders>
              <w:left w:val="single" w:sz="12" w:space="0" w:color="auto"/>
            </w:tcBorders>
          </w:tcPr>
          <w:p w14:paraId="4EFBB8D1" w14:textId="77777777" w:rsidR="00E13647" w:rsidRPr="008E2A9E" w:rsidRDefault="00E13647" w:rsidP="00987EC8">
            <w:pPr>
              <w:rPr>
                <w:sz w:val="18"/>
              </w:rPr>
            </w:pPr>
          </w:p>
        </w:tc>
        <w:tc>
          <w:tcPr>
            <w:tcW w:w="7830" w:type="dxa"/>
            <w:gridSpan w:val="2"/>
            <w:tcBorders>
              <w:left w:val="nil"/>
            </w:tcBorders>
          </w:tcPr>
          <w:p w14:paraId="29EE09E8" w14:textId="3B61A843" w:rsidR="00E13647" w:rsidRPr="008E2A9E" w:rsidRDefault="00491A86" w:rsidP="00987EC8">
            <w:pPr>
              <w:pStyle w:val="tblText"/>
              <w:rPr>
                <w:rFonts w:asciiTheme="minorHAnsi" w:hAnsiTheme="minorHAnsi"/>
              </w:rPr>
            </w:pPr>
            <w:r>
              <w:rPr>
                <w:rFonts w:asciiTheme="minorHAnsi" w:hAnsiTheme="minorHAnsi"/>
              </w:rPr>
              <w:t xml:space="preserve">Members of the State </w:t>
            </w:r>
            <w:r w:rsidR="000842F9">
              <w:rPr>
                <w:rFonts w:asciiTheme="minorHAnsi" w:hAnsiTheme="minorHAnsi"/>
              </w:rPr>
              <w:t>Legislature</w:t>
            </w:r>
          </w:p>
        </w:tc>
      </w:tr>
      <w:tr w:rsidR="00E13647" w:rsidRPr="008E2A9E" w14:paraId="17AE434D" w14:textId="77777777" w:rsidTr="00987EC8">
        <w:trPr>
          <w:cantSplit/>
          <w:trHeight w:val="480"/>
        </w:trPr>
        <w:tc>
          <w:tcPr>
            <w:tcW w:w="1368" w:type="dxa"/>
          </w:tcPr>
          <w:p w14:paraId="69623034" w14:textId="77777777" w:rsidR="00E13647" w:rsidRPr="008E2A9E" w:rsidRDefault="00E13647" w:rsidP="00987EC8">
            <w:pPr>
              <w:pStyle w:val="MemoHeadings"/>
              <w:rPr>
                <w:rFonts w:asciiTheme="minorHAnsi" w:hAnsiTheme="minorHAnsi"/>
                <w:kern w:val="60"/>
              </w:rPr>
            </w:pPr>
            <w:r w:rsidRPr="008E2A9E">
              <w:rPr>
                <w:rFonts w:asciiTheme="minorHAnsi" w:hAnsiTheme="minorHAnsi"/>
                <w:kern w:val="60"/>
              </w:rPr>
              <w:t>From:</w:t>
            </w:r>
          </w:p>
        </w:tc>
        <w:tc>
          <w:tcPr>
            <w:tcW w:w="360" w:type="dxa"/>
            <w:tcBorders>
              <w:left w:val="single" w:sz="12" w:space="0" w:color="auto"/>
            </w:tcBorders>
          </w:tcPr>
          <w:p w14:paraId="76E0262F" w14:textId="77777777" w:rsidR="00E13647" w:rsidRPr="008E2A9E" w:rsidRDefault="00E13647" w:rsidP="00987EC8">
            <w:pPr>
              <w:rPr>
                <w:sz w:val="18"/>
              </w:rPr>
            </w:pPr>
          </w:p>
        </w:tc>
        <w:tc>
          <w:tcPr>
            <w:tcW w:w="7830" w:type="dxa"/>
            <w:gridSpan w:val="2"/>
            <w:tcBorders>
              <w:left w:val="nil"/>
            </w:tcBorders>
          </w:tcPr>
          <w:p w14:paraId="1025DD7A" w14:textId="6AC7E821" w:rsidR="00E13647" w:rsidRPr="008E2A9E" w:rsidRDefault="004F0DF3" w:rsidP="00987EC8">
            <w:pPr>
              <w:pStyle w:val="tblText"/>
              <w:rPr>
                <w:rFonts w:asciiTheme="minorHAnsi" w:hAnsiTheme="minorHAnsi"/>
              </w:rPr>
            </w:pPr>
            <w:r w:rsidRPr="008E2A9E">
              <w:rPr>
                <w:rFonts w:ascii="Calibri" w:hAnsi="Calibri" w:cs="Calibri"/>
                <w:b/>
                <w:szCs w:val="22"/>
              </w:rPr>
              <w:t xml:space="preserve">Coalition to Abolish Slavery </w:t>
            </w:r>
            <w:r w:rsidR="00640285">
              <w:rPr>
                <w:rFonts w:ascii="Calibri" w:hAnsi="Calibri" w:cs="Calibri"/>
                <w:b/>
                <w:szCs w:val="22"/>
              </w:rPr>
              <w:t>&amp;</w:t>
            </w:r>
            <w:r w:rsidR="00640285" w:rsidRPr="008E2A9E">
              <w:rPr>
                <w:rFonts w:ascii="Calibri" w:hAnsi="Calibri" w:cs="Calibri"/>
                <w:b/>
                <w:szCs w:val="22"/>
              </w:rPr>
              <w:t xml:space="preserve"> </w:t>
            </w:r>
            <w:r w:rsidRPr="008E2A9E">
              <w:rPr>
                <w:rFonts w:ascii="Calibri" w:hAnsi="Calibri" w:cs="Calibri"/>
                <w:b/>
                <w:szCs w:val="22"/>
              </w:rPr>
              <w:t>Human Trafficking (CAST) and Bet Tzedek</w:t>
            </w:r>
          </w:p>
        </w:tc>
      </w:tr>
      <w:tr w:rsidR="00E13647" w:rsidRPr="008E2A9E" w14:paraId="2AE23BD0" w14:textId="77777777" w:rsidTr="00987EC8">
        <w:trPr>
          <w:cantSplit/>
          <w:trHeight w:val="480"/>
        </w:trPr>
        <w:tc>
          <w:tcPr>
            <w:tcW w:w="1368" w:type="dxa"/>
          </w:tcPr>
          <w:p w14:paraId="13589A5F" w14:textId="77777777" w:rsidR="00E13647" w:rsidRPr="008E2A9E" w:rsidRDefault="00E13647" w:rsidP="00987EC8">
            <w:pPr>
              <w:pStyle w:val="MemoHeadings"/>
              <w:rPr>
                <w:rFonts w:asciiTheme="minorHAnsi" w:hAnsiTheme="minorHAnsi"/>
                <w:kern w:val="60"/>
              </w:rPr>
            </w:pPr>
            <w:r w:rsidRPr="008E2A9E">
              <w:rPr>
                <w:rFonts w:asciiTheme="minorHAnsi" w:hAnsiTheme="minorHAnsi"/>
                <w:kern w:val="60"/>
              </w:rPr>
              <w:t>Date:</w:t>
            </w:r>
          </w:p>
        </w:tc>
        <w:tc>
          <w:tcPr>
            <w:tcW w:w="360" w:type="dxa"/>
            <w:tcBorders>
              <w:left w:val="single" w:sz="12" w:space="0" w:color="auto"/>
            </w:tcBorders>
          </w:tcPr>
          <w:p w14:paraId="4926E73B" w14:textId="77777777" w:rsidR="00E13647" w:rsidRPr="008E2A9E" w:rsidRDefault="00E13647" w:rsidP="00987EC8">
            <w:pPr>
              <w:rPr>
                <w:sz w:val="18"/>
              </w:rPr>
            </w:pPr>
          </w:p>
        </w:tc>
        <w:tc>
          <w:tcPr>
            <w:tcW w:w="3915" w:type="dxa"/>
            <w:tcBorders>
              <w:left w:val="nil"/>
            </w:tcBorders>
          </w:tcPr>
          <w:p w14:paraId="7481AF87" w14:textId="319E36BE" w:rsidR="00E13647" w:rsidRPr="008E2A9E" w:rsidRDefault="00AC0D5F" w:rsidP="00987EC8">
            <w:pPr>
              <w:pStyle w:val="MemoDate"/>
              <w:rPr>
                <w:rFonts w:asciiTheme="minorHAnsi" w:hAnsiTheme="minorHAnsi"/>
              </w:rPr>
            </w:pPr>
            <w:r>
              <w:rPr>
                <w:rFonts w:asciiTheme="minorHAnsi" w:hAnsiTheme="minorHAnsi"/>
                <w:noProof/>
              </w:rPr>
              <w:t>March 1, 2019</w:t>
            </w:r>
          </w:p>
        </w:tc>
        <w:tc>
          <w:tcPr>
            <w:tcW w:w="3915" w:type="dxa"/>
            <w:tcBorders>
              <w:left w:val="nil"/>
            </w:tcBorders>
          </w:tcPr>
          <w:p w14:paraId="2E37B9DE" w14:textId="77777777" w:rsidR="00E13647" w:rsidRPr="008E2A9E" w:rsidRDefault="00E13647" w:rsidP="00987EC8">
            <w:pPr>
              <w:pStyle w:val="tblText"/>
              <w:rPr>
                <w:rFonts w:asciiTheme="minorHAnsi" w:hAnsiTheme="minorHAnsi"/>
              </w:rPr>
            </w:pPr>
          </w:p>
        </w:tc>
      </w:tr>
      <w:tr w:rsidR="00E13647" w:rsidRPr="008E2A9E" w14:paraId="6A47EA25" w14:textId="77777777" w:rsidTr="00987EC8">
        <w:trPr>
          <w:cantSplit/>
          <w:trHeight w:val="480"/>
        </w:trPr>
        <w:tc>
          <w:tcPr>
            <w:tcW w:w="1368" w:type="dxa"/>
          </w:tcPr>
          <w:p w14:paraId="441D5CF3" w14:textId="77777777" w:rsidR="00E13647" w:rsidRPr="008E2A9E" w:rsidRDefault="00E13647" w:rsidP="00987EC8">
            <w:pPr>
              <w:pStyle w:val="MemoHeadings"/>
              <w:rPr>
                <w:rFonts w:asciiTheme="minorHAnsi" w:hAnsiTheme="minorHAnsi"/>
                <w:kern w:val="60"/>
              </w:rPr>
            </w:pPr>
            <w:r w:rsidRPr="008E2A9E">
              <w:rPr>
                <w:rFonts w:asciiTheme="minorHAnsi" w:hAnsiTheme="minorHAnsi"/>
                <w:kern w:val="60"/>
              </w:rPr>
              <w:t>Subject:</w:t>
            </w:r>
          </w:p>
        </w:tc>
        <w:tc>
          <w:tcPr>
            <w:tcW w:w="360" w:type="dxa"/>
            <w:tcBorders>
              <w:left w:val="single" w:sz="12" w:space="0" w:color="auto"/>
            </w:tcBorders>
          </w:tcPr>
          <w:p w14:paraId="3583AD92" w14:textId="77777777" w:rsidR="00E13647" w:rsidRPr="008E2A9E" w:rsidRDefault="00E13647" w:rsidP="00987EC8">
            <w:pPr>
              <w:rPr>
                <w:sz w:val="18"/>
              </w:rPr>
            </w:pPr>
          </w:p>
        </w:tc>
        <w:tc>
          <w:tcPr>
            <w:tcW w:w="7830" w:type="dxa"/>
            <w:gridSpan w:val="2"/>
            <w:tcBorders>
              <w:left w:val="nil"/>
            </w:tcBorders>
          </w:tcPr>
          <w:p w14:paraId="17A684F8" w14:textId="5294327B" w:rsidR="00E13647" w:rsidRPr="008E2A9E" w:rsidRDefault="00AC0D5F" w:rsidP="00D62ADC">
            <w:pPr>
              <w:pStyle w:val="tblText"/>
              <w:rPr>
                <w:rFonts w:asciiTheme="minorHAnsi" w:hAnsiTheme="minorHAnsi"/>
              </w:rPr>
            </w:pPr>
            <w:r>
              <w:rPr>
                <w:rFonts w:asciiTheme="minorHAnsi" w:hAnsiTheme="minorHAnsi"/>
              </w:rPr>
              <w:t xml:space="preserve">AB 629  </w:t>
            </w:r>
            <w:r w:rsidR="00F4647C">
              <w:rPr>
                <w:rFonts w:asciiTheme="minorHAnsi" w:hAnsiTheme="minorHAnsi"/>
              </w:rPr>
              <w:t>is Not A Significant Change in Board Policy</w:t>
            </w:r>
            <w:r w:rsidR="00D62ADC">
              <w:rPr>
                <w:rFonts w:asciiTheme="minorHAnsi" w:hAnsiTheme="minorHAnsi"/>
              </w:rPr>
              <w:t xml:space="preserve"> And Will have Little Fiscal Impa</w:t>
            </w:r>
            <w:r w:rsidR="007A2BEE">
              <w:rPr>
                <w:rFonts w:asciiTheme="minorHAnsi" w:hAnsiTheme="minorHAnsi"/>
              </w:rPr>
              <w:t xml:space="preserve">ct on the Crime Victims Fund </w:t>
            </w:r>
          </w:p>
        </w:tc>
      </w:tr>
      <w:tr w:rsidR="00E13647" w:rsidRPr="008E2A9E" w14:paraId="739C15EC" w14:textId="77777777" w:rsidTr="00987EC8">
        <w:trPr>
          <w:cantSplit/>
          <w:trHeight w:val="480"/>
        </w:trPr>
        <w:tc>
          <w:tcPr>
            <w:tcW w:w="1368" w:type="dxa"/>
            <w:vAlign w:val="center"/>
          </w:tcPr>
          <w:p w14:paraId="63EE754A" w14:textId="77777777" w:rsidR="00E13647" w:rsidRPr="008E2A9E" w:rsidRDefault="00E13647" w:rsidP="000842F9">
            <w:pPr>
              <w:jc w:val="center"/>
              <w:rPr>
                <w:kern w:val="60"/>
              </w:rPr>
            </w:pPr>
            <w:bookmarkStart w:id="0" w:name="_GoBack"/>
          </w:p>
        </w:tc>
        <w:tc>
          <w:tcPr>
            <w:tcW w:w="360" w:type="dxa"/>
          </w:tcPr>
          <w:p w14:paraId="4E168EA5" w14:textId="77777777" w:rsidR="00E13647" w:rsidRPr="008E2A9E" w:rsidRDefault="00E13647" w:rsidP="00987EC8">
            <w:pPr>
              <w:jc w:val="right"/>
              <w:rPr>
                <w:sz w:val="18"/>
              </w:rPr>
            </w:pPr>
          </w:p>
        </w:tc>
        <w:tc>
          <w:tcPr>
            <w:tcW w:w="7830" w:type="dxa"/>
            <w:gridSpan w:val="2"/>
            <w:vAlign w:val="center"/>
          </w:tcPr>
          <w:p w14:paraId="526B25F5" w14:textId="77777777" w:rsidR="00E13647" w:rsidRPr="008E2A9E" w:rsidRDefault="00E13647" w:rsidP="00987EC8">
            <w:pPr>
              <w:jc w:val="right"/>
              <w:rPr>
                <w:b/>
                <w:sz w:val="18"/>
              </w:rPr>
            </w:pPr>
          </w:p>
        </w:tc>
      </w:tr>
    </w:tbl>
    <w:p w14:paraId="7C470BA0" w14:textId="77777777" w:rsidR="000842F9" w:rsidRDefault="000842F9" w:rsidP="00AC0D5F">
      <w:pPr>
        <w:pStyle w:val="NormalWeb"/>
        <w:spacing w:before="0" w:beforeAutospacing="0" w:after="0" w:afterAutospacing="0"/>
        <w:rPr>
          <w:rFonts w:ascii="Calibri" w:hAnsi="Calibri" w:cs="Calibri"/>
          <w:szCs w:val="22"/>
        </w:rPr>
      </w:pPr>
    </w:p>
    <w:p w14:paraId="129BBAE8" w14:textId="53C7910C" w:rsidR="00F142AA" w:rsidRDefault="00566366" w:rsidP="00AC0D5F">
      <w:pPr>
        <w:pStyle w:val="NormalWeb"/>
        <w:spacing w:before="0" w:beforeAutospacing="0" w:after="0" w:afterAutospacing="0"/>
        <w:rPr>
          <w:rFonts w:ascii="Calibri" w:hAnsi="Calibri" w:cs="Calibri"/>
          <w:szCs w:val="22"/>
        </w:rPr>
      </w:pPr>
      <w:r w:rsidRPr="008E2A9E">
        <w:rPr>
          <w:rFonts w:ascii="Calibri" w:hAnsi="Calibri" w:cs="Calibri"/>
          <w:szCs w:val="22"/>
        </w:rPr>
        <w:t xml:space="preserve">The Coalition to Abolish Slavery </w:t>
      </w:r>
      <w:r w:rsidR="00640285">
        <w:rPr>
          <w:rFonts w:ascii="Calibri" w:hAnsi="Calibri" w:cs="Calibri"/>
          <w:szCs w:val="22"/>
        </w:rPr>
        <w:t>&amp;</w:t>
      </w:r>
      <w:r w:rsidRPr="008E2A9E">
        <w:rPr>
          <w:rFonts w:ascii="Calibri" w:hAnsi="Calibri" w:cs="Calibri"/>
          <w:szCs w:val="22"/>
        </w:rPr>
        <w:t xml:space="preserve"> Human Trafficking (CAST) and Bet Tzedek</w:t>
      </w:r>
      <w:r w:rsidR="009134C4" w:rsidRPr="008E2A9E">
        <w:rPr>
          <w:rFonts w:ascii="Calibri" w:hAnsi="Calibri" w:cs="Calibri"/>
          <w:szCs w:val="22"/>
        </w:rPr>
        <w:t xml:space="preserve"> write to address </w:t>
      </w:r>
      <w:r w:rsidR="00AC0D5F">
        <w:rPr>
          <w:rFonts w:ascii="Calibri" w:hAnsi="Calibri" w:cs="Calibri"/>
          <w:szCs w:val="22"/>
        </w:rPr>
        <w:t>the concern</w:t>
      </w:r>
      <w:r w:rsidR="004C00DB" w:rsidRPr="008E2A9E">
        <w:rPr>
          <w:rFonts w:ascii="Calibri" w:hAnsi="Calibri" w:cs="Calibri"/>
          <w:szCs w:val="22"/>
        </w:rPr>
        <w:t xml:space="preserve"> raised</w:t>
      </w:r>
      <w:r w:rsidR="00FF375F" w:rsidRPr="008E2A9E">
        <w:rPr>
          <w:rFonts w:ascii="Calibri" w:hAnsi="Calibri" w:cs="Calibri"/>
          <w:szCs w:val="22"/>
        </w:rPr>
        <w:t xml:space="preserve"> </w:t>
      </w:r>
      <w:r w:rsidR="00AC0D5F">
        <w:rPr>
          <w:rFonts w:ascii="Calibri" w:hAnsi="Calibri" w:cs="Calibri"/>
          <w:szCs w:val="22"/>
        </w:rPr>
        <w:t>in Governor Brown’s veto message of AB 900</w:t>
      </w:r>
      <w:r w:rsidR="00DD24BA">
        <w:rPr>
          <w:rFonts w:ascii="Calibri" w:hAnsi="Calibri" w:cs="Calibri"/>
          <w:szCs w:val="22"/>
        </w:rPr>
        <w:t>,</w:t>
      </w:r>
      <w:r w:rsidR="00AC0D5F">
        <w:rPr>
          <w:rFonts w:ascii="Calibri" w:hAnsi="Calibri" w:cs="Calibri"/>
          <w:szCs w:val="22"/>
        </w:rPr>
        <w:t xml:space="preserve"> the predecessor</w:t>
      </w:r>
      <w:r w:rsidR="009C5B72">
        <w:rPr>
          <w:rFonts w:ascii="Calibri" w:hAnsi="Calibri" w:cs="Calibri"/>
          <w:szCs w:val="22"/>
        </w:rPr>
        <w:t xml:space="preserve"> to AB 629, indicating that pr</w:t>
      </w:r>
      <w:r w:rsidR="007A2BEE">
        <w:rPr>
          <w:rFonts w:ascii="Calibri" w:hAnsi="Calibri" w:cs="Calibri"/>
          <w:szCs w:val="22"/>
        </w:rPr>
        <w:t>ovisions in AB 900</w:t>
      </w:r>
      <w:r w:rsidR="00CB7FE0" w:rsidRPr="00CB7FE0">
        <w:rPr>
          <w:rFonts w:ascii="Calibri" w:hAnsi="Calibri" w:cs="Calibri"/>
          <w:szCs w:val="22"/>
        </w:rPr>
        <w:t xml:space="preserve"> </w:t>
      </w:r>
      <w:r w:rsidR="00CB7FE0">
        <w:rPr>
          <w:rFonts w:ascii="Calibri" w:hAnsi="Calibri" w:cs="Calibri"/>
          <w:szCs w:val="22"/>
        </w:rPr>
        <w:t>“</w:t>
      </w:r>
      <w:r w:rsidR="00CB7FE0" w:rsidRPr="00CB7FE0">
        <w:rPr>
          <w:rFonts w:ascii="Calibri" w:hAnsi="Calibri" w:cs="Calibri"/>
          <w:szCs w:val="22"/>
        </w:rPr>
        <w:t>change</w:t>
      </w:r>
      <w:r w:rsidR="00DD24BA">
        <w:rPr>
          <w:rFonts w:ascii="Calibri" w:hAnsi="Calibri" w:cs="Calibri"/>
          <w:szCs w:val="22"/>
        </w:rPr>
        <w:t>[]</w:t>
      </w:r>
      <w:r w:rsidR="00CB7FE0" w:rsidRPr="00CB7FE0">
        <w:rPr>
          <w:rFonts w:ascii="Calibri" w:hAnsi="Calibri" w:cs="Calibri"/>
          <w:szCs w:val="22"/>
        </w:rPr>
        <w:t xml:space="preserve"> the nature of the Board's system for compensating victims</w:t>
      </w:r>
      <w:r w:rsidR="00CB7FE0">
        <w:rPr>
          <w:rFonts w:ascii="Calibri" w:hAnsi="Calibri" w:cs="Calibri"/>
          <w:szCs w:val="22"/>
        </w:rPr>
        <w:t xml:space="preserve">” and </w:t>
      </w:r>
      <w:r w:rsidR="00DD24BA">
        <w:rPr>
          <w:rFonts w:ascii="Calibri" w:hAnsi="Calibri" w:cs="Calibri"/>
          <w:szCs w:val="22"/>
        </w:rPr>
        <w:t xml:space="preserve">would </w:t>
      </w:r>
      <w:r w:rsidR="00CB7FE0">
        <w:rPr>
          <w:rFonts w:ascii="Calibri" w:hAnsi="Calibri" w:cs="Calibri"/>
          <w:szCs w:val="22"/>
        </w:rPr>
        <w:t xml:space="preserve">place </w:t>
      </w:r>
      <w:r w:rsidR="009C5B72">
        <w:rPr>
          <w:rFonts w:ascii="Calibri" w:hAnsi="Calibri" w:cs="Calibri"/>
          <w:szCs w:val="22"/>
        </w:rPr>
        <w:t xml:space="preserve">an </w:t>
      </w:r>
      <w:r w:rsidR="00AC0D5F">
        <w:rPr>
          <w:rFonts w:ascii="Calibri" w:hAnsi="Calibri" w:cs="Calibri"/>
          <w:szCs w:val="22"/>
        </w:rPr>
        <w:t xml:space="preserve"> </w:t>
      </w:r>
      <w:r w:rsidR="009C5B72">
        <w:rPr>
          <w:rFonts w:ascii="Calibri" w:hAnsi="Calibri" w:cs="Calibri"/>
          <w:szCs w:val="22"/>
        </w:rPr>
        <w:t>“</w:t>
      </w:r>
      <w:r w:rsidR="009C5B72" w:rsidRPr="009C5B72">
        <w:rPr>
          <w:rFonts w:ascii="Calibri" w:hAnsi="Calibri" w:cs="Calibri"/>
          <w:szCs w:val="22"/>
        </w:rPr>
        <w:t>unsustainable burden on the Restitution Fund</w:t>
      </w:r>
      <w:r w:rsidR="009C5B72">
        <w:rPr>
          <w:rFonts w:ascii="Calibri" w:hAnsi="Calibri" w:cs="Calibri"/>
          <w:szCs w:val="22"/>
        </w:rPr>
        <w:t>.”</w:t>
      </w:r>
      <w:r w:rsidR="00AC0D5F">
        <w:rPr>
          <w:rFonts w:ascii="Calibri" w:hAnsi="Calibri" w:cs="Calibri"/>
          <w:szCs w:val="22"/>
        </w:rPr>
        <w:t xml:space="preserve">  </w:t>
      </w:r>
      <w:r w:rsidR="00987EC8">
        <w:rPr>
          <w:rFonts w:ascii="Calibri" w:hAnsi="Calibri" w:cs="Calibri"/>
          <w:szCs w:val="22"/>
        </w:rPr>
        <w:t>A</w:t>
      </w:r>
      <w:r w:rsidR="00D76C59" w:rsidRPr="008E2A9E">
        <w:rPr>
          <w:rFonts w:ascii="Calibri" w:hAnsi="Calibri" w:cs="Calibri"/>
          <w:szCs w:val="22"/>
        </w:rPr>
        <w:t xml:space="preserve">s </w:t>
      </w:r>
      <w:r w:rsidR="00315D21">
        <w:rPr>
          <w:rFonts w:ascii="Calibri" w:hAnsi="Calibri" w:cs="Calibri"/>
          <w:szCs w:val="22"/>
        </w:rPr>
        <w:t>co-sponsors</w:t>
      </w:r>
      <w:r w:rsidR="00C8616C" w:rsidRPr="008E2A9E">
        <w:rPr>
          <w:rFonts w:ascii="Calibri" w:hAnsi="Calibri" w:cs="Calibri"/>
          <w:szCs w:val="22"/>
        </w:rPr>
        <w:t xml:space="preserve"> of th</w:t>
      </w:r>
      <w:r w:rsidR="00987EC8">
        <w:rPr>
          <w:rFonts w:ascii="Calibri" w:hAnsi="Calibri" w:cs="Calibri"/>
          <w:szCs w:val="22"/>
        </w:rPr>
        <w:t>is</w:t>
      </w:r>
      <w:r w:rsidR="00C8616C" w:rsidRPr="008E2A9E">
        <w:rPr>
          <w:rFonts w:ascii="Calibri" w:hAnsi="Calibri" w:cs="Calibri"/>
          <w:szCs w:val="22"/>
        </w:rPr>
        <w:t xml:space="preserve"> legislation</w:t>
      </w:r>
      <w:r w:rsidR="000B210D">
        <w:rPr>
          <w:rFonts w:ascii="Calibri" w:hAnsi="Calibri" w:cs="Calibri"/>
          <w:szCs w:val="22"/>
        </w:rPr>
        <w:t>,</w:t>
      </w:r>
      <w:r w:rsidR="00C8616C" w:rsidRPr="008E2A9E">
        <w:rPr>
          <w:rFonts w:ascii="Calibri" w:hAnsi="Calibri" w:cs="Calibri"/>
          <w:szCs w:val="22"/>
        </w:rPr>
        <w:t xml:space="preserve"> we </w:t>
      </w:r>
      <w:r w:rsidR="00987EC8">
        <w:rPr>
          <w:rFonts w:ascii="Calibri" w:hAnsi="Calibri" w:cs="Calibri"/>
          <w:szCs w:val="22"/>
        </w:rPr>
        <w:t xml:space="preserve">hope this memorandum can </w:t>
      </w:r>
      <w:r w:rsidR="00C8616C" w:rsidRPr="008E2A9E">
        <w:rPr>
          <w:rFonts w:ascii="Calibri" w:hAnsi="Calibri" w:cs="Calibri"/>
          <w:szCs w:val="22"/>
        </w:rPr>
        <w:t xml:space="preserve">clarify existing law around victim compensation and </w:t>
      </w:r>
      <w:r w:rsidR="00987EC8">
        <w:rPr>
          <w:rFonts w:ascii="Calibri" w:hAnsi="Calibri" w:cs="Calibri"/>
          <w:szCs w:val="22"/>
        </w:rPr>
        <w:t>provide additional information about</w:t>
      </w:r>
      <w:r w:rsidR="00AC0D5F">
        <w:rPr>
          <w:rFonts w:ascii="Calibri" w:hAnsi="Calibri" w:cs="Calibri"/>
          <w:szCs w:val="22"/>
        </w:rPr>
        <w:t xml:space="preserve"> the fiscal impact of AB 629</w:t>
      </w:r>
      <w:r w:rsidR="00987EC8">
        <w:rPr>
          <w:rFonts w:ascii="Calibri" w:hAnsi="Calibri" w:cs="Calibri"/>
          <w:szCs w:val="22"/>
        </w:rPr>
        <w:t>.</w:t>
      </w:r>
    </w:p>
    <w:p w14:paraId="24C40541" w14:textId="77777777" w:rsidR="00F4647C" w:rsidRDefault="00F4647C" w:rsidP="00AC0D5F">
      <w:pPr>
        <w:pStyle w:val="NormalWeb"/>
        <w:spacing w:before="0" w:beforeAutospacing="0" w:after="0" w:afterAutospacing="0"/>
        <w:rPr>
          <w:rFonts w:ascii="Calibri" w:hAnsi="Calibri" w:cs="Calibri"/>
          <w:szCs w:val="22"/>
        </w:rPr>
      </w:pPr>
    </w:p>
    <w:p w14:paraId="2C15EAE8" w14:textId="2BDC2E12" w:rsidR="00F4647C" w:rsidRPr="00F4647C" w:rsidRDefault="00F4647C" w:rsidP="00F4647C">
      <w:pPr>
        <w:numPr>
          <w:ilvl w:val="0"/>
          <w:numId w:val="1"/>
        </w:numPr>
        <w:spacing w:after="0" w:line="240" w:lineRule="auto"/>
        <w:rPr>
          <w:rFonts w:ascii="Calibri" w:eastAsia="Times New Roman" w:hAnsi="Calibri" w:cs="Calibri"/>
          <w:b/>
          <w:sz w:val="24"/>
        </w:rPr>
      </w:pPr>
      <w:r w:rsidRPr="00F4647C">
        <w:rPr>
          <w:rFonts w:ascii="Calibri" w:eastAsia="Times New Roman" w:hAnsi="Calibri" w:cs="Calibri"/>
          <w:b/>
          <w:sz w:val="24"/>
        </w:rPr>
        <w:t xml:space="preserve">The policy in AB 900 </w:t>
      </w:r>
      <w:r w:rsidR="00DD24BA">
        <w:rPr>
          <w:rFonts w:ascii="Calibri" w:eastAsia="Times New Roman" w:hAnsi="Calibri" w:cs="Calibri"/>
          <w:b/>
          <w:sz w:val="24"/>
        </w:rPr>
        <w:t xml:space="preserve">(now AB 629) </w:t>
      </w:r>
      <w:r w:rsidRPr="00F4647C">
        <w:rPr>
          <w:rFonts w:ascii="Calibri" w:eastAsia="Times New Roman" w:hAnsi="Calibri" w:cs="Calibri"/>
          <w:b/>
          <w:sz w:val="24"/>
        </w:rPr>
        <w:t>does not “fundamentally change” the way the California Victim's Compensation Board (</w:t>
      </w:r>
      <w:proofErr w:type="spellStart"/>
      <w:r w:rsidRPr="00F4647C">
        <w:rPr>
          <w:rFonts w:ascii="Calibri" w:eastAsia="Times New Roman" w:hAnsi="Calibri" w:cs="Calibri"/>
          <w:b/>
          <w:sz w:val="24"/>
        </w:rPr>
        <w:t>CalVCB</w:t>
      </w:r>
      <w:proofErr w:type="spellEnd"/>
      <w:r w:rsidRPr="00F4647C">
        <w:rPr>
          <w:rFonts w:ascii="Calibri" w:eastAsia="Times New Roman" w:hAnsi="Calibri" w:cs="Calibri"/>
          <w:b/>
          <w:sz w:val="24"/>
        </w:rPr>
        <w:t>) compensates victims of crime.</w:t>
      </w:r>
    </w:p>
    <w:p w14:paraId="5FE19328" w14:textId="77777777" w:rsidR="00F4647C" w:rsidRPr="00F4647C" w:rsidRDefault="00F4647C" w:rsidP="00F4647C">
      <w:pPr>
        <w:spacing w:after="0" w:line="240" w:lineRule="auto"/>
        <w:rPr>
          <w:rFonts w:ascii="Calibri" w:eastAsia="Times New Roman" w:hAnsi="Calibri" w:cs="Calibri"/>
          <w:sz w:val="24"/>
        </w:rPr>
      </w:pPr>
      <w:r w:rsidRPr="00F4647C">
        <w:rPr>
          <w:rFonts w:ascii="Calibri" w:eastAsia="Times New Roman" w:hAnsi="Calibri" w:cs="Calibri"/>
          <w:sz w:val="24"/>
        </w:rPr>
        <w:t> </w:t>
      </w:r>
    </w:p>
    <w:p w14:paraId="399F208B" w14:textId="74464CA2" w:rsidR="00F4647C" w:rsidRPr="008E2A9E" w:rsidRDefault="00F4647C" w:rsidP="00F4647C">
      <w:pPr>
        <w:pStyle w:val="NormalWeb"/>
        <w:spacing w:before="0" w:beforeAutospacing="0" w:after="0" w:afterAutospacing="0"/>
        <w:rPr>
          <w:rFonts w:ascii="Calibri" w:hAnsi="Calibri" w:cs="Calibri"/>
          <w:szCs w:val="22"/>
        </w:rPr>
      </w:pPr>
      <w:r>
        <w:rPr>
          <w:rFonts w:ascii="Calibri" w:hAnsi="Calibri" w:cs="Calibri"/>
        </w:rPr>
        <w:t xml:space="preserve">The governor’s veto message indicates that </w:t>
      </w:r>
      <w:r w:rsidRPr="00F4647C">
        <w:rPr>
          <w:rFonts w:ascii="Calibri" w:hAnsi="Calibri" w:cs="Calibri"/>
        </w:rPr>
        <w:t>AB 900</w:t>
      </w:r>
      <w:r>
        <w:rPr>
          <w:rFonts w:ascii="Calibri" w:hAnsi="Calibri" w:cs="Calibri"/>
        </w:rPr>
        <w:t xml:space="preserve"> is</w:t>
      </w:r>
      <w:r w:rsidRPr="00F4647C">
        <w:rPr>
          <w:rFonts w:ascii="Calibri" w:hAnsi="Calibri" w:cs="Calibri"/>
        </w:rPr>
        <w:t xml:space="preserve"> a “fundamental change” to the nature of the Board’s </w:t>
      </w:r>
      <w:r w:rsidR="00DD24BA">
        <w:rPr>
          <w:rFonts w:ascii="Calibri" w:hAnsi="Calibri" w:cs="Calibri"/>
        </w:rPr>
        <w:t xml:space="preserve">current </w:t>
      </w:r>
      <w:r w:rsidRPr="00F4647C">
        <w:rPr>
          <w:rFonts w:ascii="Calibri" w:hAnsi="Calibri" w:cs="Calibri"/>
        </w:rPr>
        <w:t xml:space="preserve">system of </w:t>
      </w:r>
      <w:proofErr w:type="gramStart"/>
      <w:r w:rsidR="007A2BEE">
        <w:rPr>
          <w:rFonts w:ascii="Calibri" w:hAnsi="Calibri" w:cs="Calibri"/>
        </w:rPr>
        <w:t>compensatin</w:t>
      </w:r>
      <w:r w:rsidR="00DD24BA">
        <w:rPr>
          <w:rFonts w:ascii="Calibri" w:hAnsi="Calibri" w:cs="Calibri"/>
        </w:rPr>
        <w:t>g</w:t>
      </w:r>
      <w:r w:rsidR="007A2BEE">
        <w:rPr>
          <w:rFonts w:ascii="Calibri" w:hAnsi="Calibri" w:cs="Calibri"/>
        </w:rPr>
        <w:t xml:space="preserve">  crime</w:t>
      </w:r>
      <w:proofErr w:type="gramEnd"/>
      <w:r w:rsidR="007A2BEE">
        <w:rPr>
          <w:rFonts w:ascii="Calibri" w:hAnsi="Calibri" w:cs="Calibri"/>
        </w:rPr>
        <w:t xml:space="preserve"> victims</w:t>
      </w:r>
      <w:r>
        <w:rPr>
          <w:rFonts w:ascii="Calibri" w:hAnsi="Calibri" w:cs="Calibri"/>
        </w:rPr>
        <w:t xml:space="preserve">. </w:t>
      </w:r>
      <w:r>
        <w:rPr>
          <w:rFonts w:ascii="Calibri" w:hAnsi="Calibri" w:cs="Calibri"/>
          <w:szCs w:val="22"/>
        </w:rPr>
        <w:t>However</w:t>
      </w:r>
      <w:r w:rsidR="00DD24BA">
        <w:rPr>
          <w:rFonts w:ascii="Calibri" w:hAnsi="Calibri" w:cs="Calibri"/>
          <w:szCs w:val="22"/>
        </w:rPr>
        <w:t>,</w:t>
      </w:r>
      <w:r>
        <w:rPr>
          <w:rFonts w:ascii="Calibri" w:hAnsi="Calibri" w:cs="Calibri"/>
          <w:szCs w:val="22"/>
        </w:rPr>
        <w:t xml:space="preserve"> recovery </w:t>
      </w:r>
      <w:proofErr w:type="gramStart"/>
      <w:r w:rsidR="00DD24BA">
        <w:rPr>
          <w:rFonts w:ascii="Calibri" w:hAnsi="Calibri" w:cs="Calibri"/>
          <w:szCs w:val="22"/>
        </w:rPr>
        <w:t xml:space="preserve">of </w:t>
      </w:r>
      <w:r>
        <w:rPr>
          <w:rFonts w:ascii="Calibri" w:hAnsi="Calibri" w:cs="Calibri"/>
          <w:szCs w:val="22"/>
        </w:rPr>
        <w:t xml:space="preserve"> lost</w:t>
      </w:r>
      <w:proofErr w:type="gramEnd"/>
      <w:r>
        <w:rPr>
          <w:rFonts w:ascii="Calibri" w:hAnsi="Calibri" w:cs="Calibri"/>
          <w:szCs w:val="22"/>
        </w:rPr>
        <w:t xml:space="preserve"> income by crime victims is currently allowed under state</w:t>
      </w:r>
      <w:r w:rsidR="00723BEA">
        <w:rPr>
          <w:rStyle w:val="FootnoteReference"/>
          <w:rFonts w:ascii="Calibri" w:hAnsi="Calibri" w:cs="Calibri"/>
          <w:szCs w:val="22"/>
        </w:rPr>
        <w:footnoteReference w:id="1"/>
      </w:r>
      <w:r>
        <w:rPr>
          <w:rFonts w:ascii="Calibri" w:hAnsi="Calibri" w:cs="Calibri"/>
          <w:szCs w:val="22"/>
        </w:rPr>
        <w:t xml:space="preserve"> an</w:t>
      </w:r>
      <w:r w:rsidR="00723BEA">
        <w:rPr>
          <w:rFonts w:ascii="Calibri" w:hAnsi="Calibri" w:cs="Calibri"/>
          <w:szCs w:val="22"/>
        </w:rPr>
        <w:t>d federal statute. In fact the B</w:t>
      </w:r>
      <w:r>
        <w:rPr>
          <w:rFonts w:ascii="Calibri" w:hAnsi="Calibri" w:cs="Calibri"/>
          <w:szCs w:val="22"/>
        </w:rPr>
        <w:t xml:space="preserve">oard paid almost 11 million </w:t>
      </w:r>
      <w:r w:rsidR="00DD24BA">
        <w:rPr>
          <w:rFonts w:ascii="Calibri" w:hAnsi="Calibri" w:cs="Calibri"/>
          <w:szCs w:val="22"/>
        </w:rPr>
        <w:t xml:space="preserve">dollars </w:t>
      </w:r>
      <w:r>
        <w:rPr>
          <w:rFonts w:ascii="Calibri" w:hAnsi="Calibri" w:cs="Calibri"/>
          <w:szCs w:val="22"/>
        </w:rPr>
        <w:t>in lost income to crime victims last year</w:t>
      </w:r>
      <w:r w:rsidR="00D62ADC">
        <w:rPr>
          <w:rFonts w:ascii="Calibri" w:hAnsi="Calibri" w:cs="Calibri"/>
          <w:szCs w:val="22"/>
        </w:rPr>
        <w:t xml:space="preserve"> in California</w:t>
      </w:r>
      <w:r>
        <w:rPr>
          <w:rFonts w:ascii="Calibri" w:hAnsi="Calibri" w:cs="Calibri"/>
          <w:szCs w:val="22"/>
        </w:rPr>
        <w:t>.</w:t>
      </w:r>
      <w:r>
        <w:rPr>
          <w:rStyle w:val="FootnoteReference"/>
          <w:rFonts w:ascii="Calibri" w:hAnsi="Calibri" w:cs="Calibri"/>
          <w:szCs w:val="22"/>
        </w:rPr>
        <w:footnoteReference w:id="2"/>
      </w:r>
      <w:r>
        <w:rPr>
          <w:rFonts w:ascii="Calibri" w:hAnsi="Calibri" w:cs="Calibri"/>
          <w:szCs w:val="22"/>
        </w:rPr>
        <w:t xml:space="preserve"> </w:t>
      </w:r>
    </w:p>
    <w:p w14:paraId="2FA2F62C" w14:textId="0A1FAD46" w:rsidR="00F4647C" w:rsidRPr="00F4647C" w:rsidRDefault="00F4647C" w:rsidP="00F4647C">
      <w:pPr>
        <w:spacing w:after="0" w:line="240" w:lineRule="auto"/>
        <w:rPr>
          <w:rFonts w:ascii="Calibri" w:eastAsia="Times New Roman" w:hAnsi="Calibri" w:cs="Calibri"/>
          <w:sz w:val="24"/>
        </w:rPr>
      </w:pPr>
    </w:p>
    <w:p w14:paraId="19CABEE4" w14:textId="6CE35096" w:rsidR="00F4647C" w:rsidRPr="00F4647C" w:rsidRDefault="00F4647C" w:rsidP="00F4647C">
      <w:pPr>
        <w:spacing w:after="0" w:line="240" w:lineRule="auto"/>
        <w:rPr>
          <w:rFonts w:ascii="Calibri" w:eastAsia="Times New Roman" w:hAnsi="Calibri" w:cs="Calibri"/>
          <w:sz w:val="24"/>
        </w:rPr>
      </w:pPr>
      <w:r w:rsidRPr="00F4647C">
        <w:rPr>
          <w:rFonts w:ascii="Calibri" w:eastAsia="Times New Roman" w:hAnsi="Calibri" w:cs="Calibri"/>
          <w:sz w:val="24"/>
        </w:rPr>
        <w:t xml:space="preserve">The issue that AB </w:t>
      </w:r>
      <w:r w:rsidR="00DD24BA">
        <w:rPr>
          <w:rFonts w:ascii="Calibri" w:eastAsia="Times New Roman" w:hAnsi="Calibri" w:cs="Calibri"/>
          <w:sz w:val="24"/>
        </w:rPr>
        <w:t>629</w:t>
      </w:r>
      <w:r w:rsidRPr="00F4647C">
        <w:rPr>
          <w:rFonts w:ascii="Calibri" w:eastAsia="Times New Roman" w:hAnsi="Calibri" w:cs="Calibri"/>
          <w:sz w:val="24"/>
        </w:rPr>
        <w:t xml:space="preserve"> seeks to resolve for human trafficking victims is the standard of proof required at an </w:t>
      </w:r>
      <w:r w:rsidRPr="00F4647C">
        <w:rPr>
          <w:rFonts w:ascii="Calibri" w:eastAsia="Times New Roman" w:hAnsi="Calibri" w:cs="Calibri"/>
          <w:b/>
          <w:sz w:val="24"/>
          <w:u w:val="single"/>
        </w:rPr>
        <w:t>administrative level</w:t>
      </w:r>
      <w:r w:rsidRPr="00F4647C">
        <w:rPr>
          <w:rFonts w:ascii="Calibri" w:eastAsia="Times New Roman" w:hAnsi="Calibri" w:cs="Calibri"/>
          <w:sz w:val="24"/>
        </w:rPr>
        <w:t xml:space="preserve"> to qualify for lost income relief.  Existing regulations require victims to prove the amount of lost income by providing a statement of disability for the time period in question from the employer or tax documents to verify the amount of the loss.  </w:t>
      </w:r>
      <w:r w:rsidRPr="00F4647C">
        <w:rPr>
          <w:rFonts w:ascii="Calibri" w:eastAsia="Times New Roman" w:hAnsi="Calibri" w:cs="Calibri"/>
          <w:i/>
          <w:sz w:val="24"/>
        </w:rPr>
        <w:t>See</w:t>
      </w:r>
      <w:r w:rsidRPr="00F4647C">
        <w:rPr>
          <w:rFonts w:ascii="Calibri" w:eastAsia="Times New Roman" w:hAnsi="Calibri" w:cs="Calibri"/>
          <w:sz w:val="24"/>
        </w:rPr>
        <w:t xml:space="preserve"> Title 2 CCR §§ 649.7(b)(2), 649.32(d). The vast majority of human trafficking victims are unable to provide this type of proof since the</w:t>
      </w:r>
      <w:r w:rsidR="00DD24BA">
        <w:rPr>
          <w:rFonts w:ascii="Calibri" w:eastAsia="Times New Roman" w:hAnsi="Calibri" w:cs="Calibri"/>
          <w:sz w:val="24"/>
        </w:rPr>
        <w:t>ir</w:t>
      </w:r>
      <w:r w:rsidRPr="00F4647C">
        <w:rPr>
          <w:rFonts w:ascii="Calibri" w:eastAsia="Times New Roman" w:hAnsi="Calibri" w:cs="Calibri"/>
          <w:sz w:val="24"/>
        </w:rPr>
        <w:t xml:space="preserve"> income loss does not occur after the crime, but instead </w:t>
      </w:r>
      <w:r w:rsidRPr="00D4251D">
        <w:rPr>
          <w:rFonts w:ascii="Calibri" w:eastAsia="Times New Roman" w:hAnsi="Calibri" w:cs="Calibri"/>
          <w:i/>
          <w:sz w:val="24"/>
        </w:rPr>
        <w:t>is</w:t>
      </w:r>
      <w:r w:rsidRPr="00F4647C">
        <w:rPr>
          <w:rFonts w:ascii="Calibri" w:eastAsia="Times New Roman" w:hAnsi="Calibri" w:cs="Calibri"/>
          <w:sz w:val="24"/>
        </w:rPr>
        <w:t xml:space="preserve"> the crime. The lack of required paperwork to prove the exact amount of loss is </w:t>
      </w:r>
      <w:r w:rsidR="00DD24BA">
        <w:rPr>
          <w:rFonts w:ascii="Calibri" w:eastAsia="Times New Roman" w:hAnsi="Calibri" w:cs="Calibri"/>
          <w:sz w:val="24"/>
        </w:rPr>
        <w:t xml:space="preserve">a direct </w:t>
      </w:r>
      <w:proofErr w:type="gramStart"/>
      <w:r w:rsidR="00DD24BA">
        <w:rPr>
          <w:rFonts w:ascii="Calibri" w:eastAsia="Times New Roman" w:hAnsi="Calibri" w:cs="Calibri"/>
          <w:sz w:val="24"/>
        </w:rPr>
        <w:t xml:space="preserve">result </w:t>
      </w:r>
      <w:r w:rsidRPr="00F4647C">
        <w:rPr>
          <w:rFonts w:ascii="Calibri" w:eastAsia="Times New Roman" w:hAnsi="Calibri" w:cs="Calibri"/>
          <w:sz w:val="24"/>
        </w:rPr>
        <w:t xml:space="preserve"> of</w:t>
      </w:r>
      <w:proofErr w:type="gramEnd"/>
      <w:r w:rsidRPr="00F4647C">
        <w:rPr>
          <w:rFonts w:ascii="Calibri" w:eastAsia="Times New Roman" w:hAnsi="Calibri" w:cs="Calibri"/>
          <w:sz w:val="24"/>
        </w:rPr>
        <w:t xml:space="preserve"> the trafficker’s form of commercial exploitation</w:t>
      </w:r>
      <w:r w:rsidR="00DD24BA">
        <w:rPr>
          <w:rFonts w:ascii="Calibri" w:eastAsia="Times New Roman" w:hAnsi="Calibri" w:cs="Calibri"/>
          <w:sz w:val="24"/>
        </w:rPr>
        <w:t>, i.e., forced labor</w:t>
      </w:r>
      <w:r w:rsidRPr="00F4647C">
        <w:rPr>
          <w:rFonts w:ascii="Calibri" w:eastAsia="Times New Roman" w:hAnsi="Calibri" w:cs="Calibri"/>
          <w:sz w:val="24"/>
        </w:rPr>
        <w:t>.  As California take steps to better address th</w:t>
      </w:r>
      <w:r w:rsidR="00DD24BA">
        <w:rPr>
          <w:rFonts w:ascii="Calibri" w:eastAsia="Times New Roman" w:hAnsi="Calibri" w:cs="Calibri"/>
          <w:sz w:val="24"/>
        </w:rPr>
        <w:t xml:space="preserve">e crime of trafficking </w:t>
      </w:r>
      <w:r w:rsidRPr="00F4647C">
        <w:rPr>
          <w:rFonts w:ascii="Calibri" w:eastAsia="Times New Roman" w:hAnsi="Calibri" w:cs="Calibri"/>
          <w:sz w:val="24"/>
        </w:rPr>
        <w:t xml:space="preserve"> through a range of legislative reforms and practices</w:t>
      </w:r>
      <w:r w:rsidR="00DD24BA">
        <w:rPr>
          <w:rFonts w:ascii="Calibri" w:eastAsia="Times New Roman" w:hAnsi="Calibri" w:cs="Calibri"/>
          <w:sz w:val="24"/>
        </w:rPr>
        <w:t xml:space="preserve">, </w:t>
      </w:r>
      <w:r w:rsidRPr="00F4647C">
        <w:rPr>
          <w:rFonts w:ascii="Calibri" w:eastAsia="Times New Roman" w:hAnsi="Calibri" w:cs="Calibri"/>
          <w:sz w:val="24"/>
        </w:rPr>
        <w:t xml:space="preserve"> the </w:t>
      </w:r>
      <w:r w:rsidR="00DD24BA">
        <w:rPr>
          <w:rFonts w:ascii="Calibri" w:eastAsia="Times New Roman" w:hAnsi="Calibri" w:cs="Calibri"/>
          <w:sz w:val="24"/>
        </w:rPr>
        <w:t xml:space="preserve">evidence of lost income </w:t>
      </w:r>
      <w:r w:rsidRPr="00F4647C">
        <w:rPr>
          <w:rFonts w:ascii="Calibri" w:eastAsia="Times New Roman" w:hAnsi="Calibri" w:cs="Calibri"/>
          <w:sz w:val="24"/>
        </w:rPr>
        <w:t xml:space="preserve"> </w:t>
      </w:r>
      <w:proofErr w:type="spellStart"/>
      <w:r w:rsidRPr="00F4647C">
        <w:rPr>
          <w:rFonts w:ascii="Calibri" w:eastAsia="Times New Roman" w:hAnsi="Calibri" w:cs="Calibri"/>
          <w:sz w:val="24"/>
        </w:rPr>
        <w:t>CalVCB</w:t>
      </w:r>
      <w:proofErr w:type="spellEnd"/>
      <w:r w:rsidR="00DD24BA">
        <w:rPr>
          <w:rFonts w:ascii="Calibri" w:eastAsia="Times New Roman" w:hAnsi="Calibri" w:cs="Calibri"/>
          <w:sz w:val="24"/>
        </w:rPr>
        <w:t xml:space="preserve"> will accept</w:t>
      </w:r>
      <w:r w:rsidRPr="00F4647C">
        <w:rPr>
          <w:rFonts w:ascii="Calibri" w:eastAsia="Times New Roman" w:hAnsi="Calibri" w:cs="Calibri"/>
          <w:sz w:val="24"/>
        </w:rPr>
        <w:t xml:space="preserve"> must be updated </w:t>
      </w:r>
      <w:r w:rsidR="00DD24BA">
        <w:rPr>
          <w:rFonts w:ascii="Calibri" w:eastAsia="Times New Roman" w:hAnsi="Calibri" w:cs="Calibri"/>
          <w:sz w:val="24"/>
        </w:rPr>
        <w:t xml:space="preserve">and expanded </w:t>
      </w:r>
      <w:r w:rsidRPr="00F4647C">
        <w:rPr>
          <w:rFonts w:ascii="Calibri" w:eastAsia="Times New Roman" w:hAnsi="Calibri" w:cs="Calibri"/>
          <w:sz w:val="24"/>
        </w:rPr>
        <w:t xml:space="preserve">so that human trafficking survivors are not prevented from accessing aid </w:t>
      </w:r>
      <w:r w:rsidR="00DD24BA">
        <w:rPr>
          <w:rFonts w:ascii="Calibri" w:eastAsia="Times New Roman" w:hAnsi="Calibri" w:cs="Calibri"/>
          <w:sz w:val="24"/>
        </w:rPr>
        <w:t xml:space="preserve">available to </w:t>
      </w:r>
      <w:r w:rsidRPr="00F4647C">
        <w:rPr>
          <w:rFonts w:ascii="Calibri" w:eastAsia="Times New Roman" w:hAnsi="Calibri" w:cs="Calibri"/>
          <w:sz w:val="24"/>
        </w:rPr>
        <w:t xml:space="preserve"> victims</w:t>
      </w:r>
      <w:r w:rsidR="00DD24BA">
        <w:rPr>
          <w:rFonts w:ascii="Calibri" w:eastAsia="Times New Roman" w:hAnsi="Calibri" w:cs="Calibri"/>
          <w:sz w:val="24"/>
        </w:rPr>
        <w:t xml:space="preserve"> of other crimes</w:t>
      </w:r>
      <w:r w:rsidRPr="00F4647C">
        <w:rPr>
          <w:rFonts w:ascii="Calibri" w:eastAsia="Times New Roman" w:hAnsi="Calibri" w:cs="Calibri"/>
          <w:sz w:val="24"/>
        </w:rPr>
        <w:t xml:space="preserve">.  </w:t>
      </w:r>
    </w:p>
    <w:p w14:paraId="181B0DAD" w14:textId="77777777" w:rsidR="005F616E" w:rsidRPr="008E2A9E" w:rsidRDefault="005F616E" w:rsidP="00F142AA">
      <w:pPr>
        <w:pStyle w:val="NormalWeb"/>
        <w:spacing w:before="0" w:beforeAutospacing="0" w:after="0" w:afterAutospacing="0"/>
        <w:rPr>
          <w:rFonts w:ascii="Calibri" w:hAnsi="Calibri" w:cs="Calibri"/>
          <w:szCs w:val="22"/>
        </w:rPr>
      </w:pPr>
    </w:p>
    <w:p w14:paraId="4CC3164E" w14:textId="3B2E1D19" w:rsidR="00F142AA" w:rsidRPr="008E2A9E" w:rsidRDefault="00F142AA" w:rsidP="00F142AA">
      <w:pPr>
        <w:pStyle w:val="NormalWeb"/>
        <w:spacing w:before="0" w:beforeAutospacing="0" w:after="0" w:afterAutospacing="0"/>
        <w:rPr>
          <w:rFonts w:ascii="Calibri" w:hAnsi="Calibri" w:cs="Calibri"/>
          <w:szCs w:val="22"/>
        </w:rPr>
      </w:pPr>
    </w:p>
    <w:p w14:paraId="3D3EE28E" w14:textId="789FE8C1" w:rsidR="00D62ADC" w:rsidRPr="00723BEA" w:rsidRDefault="00723BEA" w:rsidP="00D62ADC">
      <w:pPr>
        <w:pStyle w:val="ListParagraph"/>
        <w:numPr>
          <w:ilvl w:val="0"/>
          <w:numId w:val="1"/>
        </w:numPr>
        <w:rPr>
          <w:sz w:val="24"/>
          <w:szCs w:val="24"/>
        </w:rPr>
      </w:pPr>
      <w:r>
        <w:rPr>
          <w:b/>
          <w:sz w:val="24"/>
          <w:szCs w:val="24"/>
        </w:rPr>
        <w:t>AB 629  will have little f</w:t>
      </w:r>
      <w:r w:rsidR="00D62ADC" w:rsidRPr="00723BEA">
        <w:rPr>
          <w:b/>
          <w:sz w:val="24"/>
          <w:szCs w:val="24"/>
        </w:rPr>
        <w:t>iscal Impact on the Crime Victims Fund</w:t>
      </w:r>
      <w:r w:rsidR="00925988" w:rsidRPr="00723BEA">
        <w:rPr>
          <w:rStyle w:val="FootnoteReference"/>
          <w:b/>
          <w:sz w:val="24"/>
          <w:szCs w:val="24"/>
        </w:rPr>
        <w:footnoteReference w:id="3"/>
      </w:r>
    </w:p>
    <w:p w14:paraId="5CF15490" w14:textId="2127313B" w:rsidR="002218E4" w:rsidRPr="002218E4" w:rsidRDefault="00D62ADC" w:rsidP="00C34E66">
      <w:pPr>
        <w:pStyle w:val="NormalWeb"/>
        <w:spacing w:before="0" w:beforeAutospacing="0" w:after="0" w:afterAutospacing="0"/>
        <w:rPr>
          <w:rFonts w:asciiTheme="majorHAnsi" w:hAnsiTheme="majorHAnsi"/>
        </w:rPr>
      </w:pPr>
      <w:r>
        <w:rPr>
          <w:rFonts w:asciiTheme="majorHAnsi" w:hAnsiTheme="majorHAnsi" w:cs="Calibri"/>
        </w:rPr>
        <w:t xml:space="preserve">Last year in </w:t>
      </w:r>
      <w:r w:rsidRPr="0017221F">
        <w:rPr>
          <w:rFonts w:asciiTheme="majorHAnsi" w:hAnsiTheme="majorHAnsi" w:cs="Calibri"/>
        </w:rPr>
        <w:t>the Assembly Appropriations Committee</w:t>
      </w:r>
      <w:r>
        <w:rPr>
          <w:rFonts w:asciiTheme="majorHAnsi" w:hAnsiTheme="majorHAnsi" w:cs="Calibri"/>
        </w:rPr>
        <w:t>,</w:t>
      </w:r>
      <w:r w:rsidRPr="0017221F">
        <w:rPr>
          <w:rFonts w:asciiTheme="majorHAnsi" w:hAnsiTheme="majorHAnsi" w:cs="Calibri"/>
        </w:rPr>
        <w:t xml:space="preserve"> language in AB 900</w:t>
      </w:r>
      <w:r w:rsidR="00DD24BA">
        <w:rPr>
          <w:rFonts w:asciiTheme="majorHAnsi" w:hAnsiTheme="majorHAnsi" w:cs="Calibri"/>
        </w:rPr>
        <w:t xml:space="preserve"> (</w:t>
      </w:r>
      <w:r w:rsidR="00925988">
        <w:rPr>
          <w:rFonts w:asciiTheme="majorHAnsi" w:hAnsiTheme="majorHAnsi" w:cs="Calibri"/>
        </w:rPr>
        <w:t>now AB 629</w:t>
      </w:r>
      <w:r w:rsidR="00DD24BA">
        <w:rPr>
          <w:rFonts w:asciiTheme="majorHAnsi" w:hAnsiTheme="majorHAnsi" w:cs="Calibri"/>
        </w:rPr>
        <w:t>)</w:t>
      </w:r>
      <w:r w:rsidRPr="0017221F">
        <w:rPr>
          <w:rFonts w:asciiTheme="majorHAnsi" w:hAnsiTheme="majorHAnsi" w:cs="Calibri"/>
        </w:rPr>
        <w:t xml:space="preserve"> was amended to provide a $10,000 annual cap for a maximum of 2 years.  The overall cap for each individual victim’s compensation from the fund remains at $72,000.  To simplify the claim</w:t>
      </w:r>
      <w:r w:rsidR="00DD24BA">
        <w:rPr>
          <w:rFonts w:asciiTheme="majorHAnsi" w:hAnsiTheme="majorHAnsi" w:cs="Calibri"/>
        </w:rPr>
        <w:t>s</w:t>
      </w:r>
      <w:r w:rsidRPr="0017221F">
        <w:rPr>
          <w:rFonts w:asciiTheme="majorHAnsi" w:hAnsiTheme="majorHAnsi" w:cs="Calibri"/>
        </w:rPr>
        <w:t xml:space="preserve"> process AB 900 was also amended to base </w:t>
      </w:r>
      <w:r w:rsidR="00DD24BA">
        <w:rPr>
          <w:rFonts w:asciiTheme="majorHAnsi" w:hAnsiTheme="majorHAnsi" w:cs="Calibri"/>
        </w:rPr>
        <w:t xml:space="preserve">the </w:t>
      </w:r>
      <w:r w:rsidRPr="0017221F">
        <w:rPr>
          <w:rFonts w:asciiTheme="majorHAnsi" w:hAnsiTheme="majorHAnsi" w:cs="Calibri"/>
        </w:rPr>
        <w:t xml:space="preserve">lost wage compensation </w:t>
      </w:r>
      <w:r w:rsidR="00DD24BA">
        <w:rPr>
          <w:rFonts w:asciiTheme="majorHAnsi" w:hAnsiTheme="majorHAnsi" w:cs="Calibri"/>
        </w:rPr>
        <w:t xml:space="preserve">calculation </w:t>
      </w:r>
      <w:r w:rsidRPr="0017221F">
        <w:rPr>
          <w:rFonts w:asciiTheme="majorHAnsi" w:hAnsiTheme="majorHAnsi" w:cs="Calibri"/>
        </w:rPr>
        <w:t xml:space="preserve">for trafficking victims on </w:t>
      </w:r>
      <w:r w:rsidR="00DD24BA">
        <w:rPr>
          <w:rFonts w:asciiTheme="majorHAnsi" w:hAnsiTheme="majorHAnsi" w:cs="Calibri"/>
        </w:rPr>
        <w:t xml:space="preserve">the </w:t>
      </w:r>
      <w:r w:rsidRPr="0017221F">
        <w:rPr>
          <w:rFonts w:asciiTheme="majorHAnsi" w:hAnsiTheme="majorHAnsi"/>
        </w:rPr>
        <w:t>minimum wage</w:t>
      </w:r>
      <w:r>
        <w:rPr>
          <w:rFonts w:asciiTheme="majorHAnsi" w:hAnsiTheme="majorHAnsi"/>
        </w:rPr>
        <w:t>, for up to 40 hours per week</w:t>
      </w:r>
      <w:r w:rsidRPr="0017221F">
        <w:rPr>
          <w:rFonts w:asciiTheme="majorHAnsi" w:hAnsiTheme="majorHAnsi"/>
        </w:rPr>
        <w:t>.  In 201</w:t>
      </w:r>
      <w:r w:rsidR="00DD24BA">
        <w:rPr>
          <w:rFonts w:asciiTheme="majorHAnsi" w:hAnsiTheme="majorHAnsi"/>
        </w:rPr>
        <w:t>9, the m</w:t>
      </w:r>
      <w:r w:rsidRPr="0017221F">
        <w:rPr>
          <w:rFonts w:asciiTheme="majorHAnsi" w:hAnsiTheme="majorHAnsi"/>
        </w:rPr>
        <w:t xml:space="preserve">inimum </w:t>
      </w:r>
      <w:r w:rsidR="00DD24BA">
        <w:rPr>
          <w:rFonts w:asciiTheme="majorHAnsi" w:hAnsiTheme="majorHAnsi"/>
        </w:rPr>
        <w:t>w</w:t>
      </w:r>
      <w:r w:rsidRPr="0017221F">
        <w:rPr>
          <w:rFonts w:asciiTheme="majorHAnsi" w:hAnsiTheme="majorHAnsi"/>
        </w:rPr>
        <w:t xml:space="preserve">age </w:t>
      </w:r>
      <w:r w:rsidR="00DD24BA">
        <w:rPr>
          <w:rFonts w:asciiTheme="majorHAnsi" w:hAnsiTheme="majorHAnsi"/>
        </w:rPr>
        <w:t xml:space="preserve">for employers with fewer than 26 </w:t>
      </w:r>
      <w:r w:rsidRPr="0017221F">
        <w:rPr>
          <w:rFonts w:asciiTheme="majorHAnsi" w:hAnsiTheme="majorHAnsi"/>
        </w:rPr>
        <w:t>is $1</w:t>
      </w:r>
      <w:r w:rsidR="00DD24BA">
        <w:rPr>
          <w:rFonts w:asciiTheme="majorHAnsi" w:hAnsiTheme="majorHAnsi"/>
        </w:rPr>
        <w:t>1</w:t>
      </w:r>
      <w:r w:rsidRPr="0017221F">
        <w:rPr>
          <w:rFonts w:asciiTheme="majorHAnsi" w:hAnsiTheme="majorHAnsi"/>
        </w:rPr>
        <w:t>.</w:t>
      </w:r>
      <w:r w:rsidR="00DD24BA">
        <w:rPr>
          <w:rFonts w:asciiTheme="majorHAnsi" w:hAnsiTheme="majorHAnsi"/>
        </w:rPr>
        <w:t>0</w:t>
      </w:r>
      <w:r w:rsidRPr="0017221F">
        <w:rPr>
          <w:rFonts w:asciiTheme="majorHAnsi" w:hAnsiTheme="majorHAnsi"/>
        </w:rPr>
        <w:t>0/hour</w:t>
      </w:r>
      <w:r>
        <w:rPr>
          <w:rFonts w:asciiTheme="majorHAnsi" w:hAnsiTheme="majorHAnsi"/>
        </w:rPr>
        <w:t>. A 40 hour work week at this rate yield $4</w:t>
      </w:r>
      <w:r w:rsidR="00DD24BA">
        <w:rPr>
          <w:rFonts w:asciiTheme="majorHAnsi" w:hAnsiTheme="majorHAnsi"/>
        </w:rPr>
        <w:t>4</w:t>
      </w:r>
      <w:r>
        <w:rPr>
          <w:rFonts w:asciiTheme="majorHAnsi" w:hAnsiTheme="majorHAnsi"/>
        </w:rPr>
        <w:t>0 per</w:t>
      </w:r>
      <w:r w:rsidRPr="0017221F">
        <w:rPr>
          <w:rFonts w:asciiTheme="majorHAnsi" w:hAnsiTheme="majorHAnsi"/>
        </w:rPr>
        <w:t xml:space="preserve"> week. </w:t>
      </w:r>
      <w:r w:rsidR="00DD24BA">
        <w:rPr>
          <w:rFonts w:asciiTheme="majorHAnsi" w:hAnsiTheme="majorHAnsi"/>
        </w:rPr>
        <w:t xml:space="preserve">It is also important to note </w:t>
      </w:r>
      <w:proofErr w:type="gramStart"/>
      <w:r w:rsidR="00DD24BA">
        <w:rPr>
          <w:rFonts w:asciiTheme="majorHAnsi" w:hAnsiTheme="majorHAnsi"/>
        </w:rPr>
        <w:t xml:space="preserve">that </w:t>
      </w:r>
      <w:r w:rsidR="00723BEA">
        <w:rPr>
          <w:rFonts w:asciiTheme="majorHAnsi" w:hAnsiTheme="majorHAnsi"/>
        </w:rPr>
        <w:t xml:space="preserve"> under</w:t>
      </w:r>
      <w:proofErr w:type="gramEnd"/>
      <w:r w:rsidR="00723BEA">
        <w:rPr>
          <w:rFonts w:asciiTheme="majorHAnsi" w:hAnsiTheme="majorHAnsi"/>
        </w:rPr>
        <w:t xml:space="preserve"> AB</w:t>
      </w:r>
      <w:r w:rsidR="00925988">
        <w:rPr>
          <w:rFonts w:asciiTheme="majorHAnsi" w:hAnsiTheme="majorHAnsi"/>
        </w:rPr>
        <w:t xml:space="preserve"> 629</w:t>
      </w:r>
      <w:r w:rsidR="00DD24BA">
        <w:rPr>
          <w:rFonts w:asciiTheme="majorHAnsi" w:hAnsiTheme="majorHAnsi"/>
        </w:rPr>
        <w:t xml:space="preserve">, </w:t>
      </w:r>
      <w:r w:rsidR="00723BEA">
        <w:rPr>
          <w:rFonts w:asciiTheme="majorHAnsi" w:hAnsiTheme="majorHAnsi"/>
        </w:rPr>
        <w:t xml:space="preserve"> </w:t>
      </w:r>
      <w:proofErr w:type="spellStart"/>
      <w:r w:rsidR="00723BEA">
        <w:rPr>
          <w:rFonts w:asciiTheme="majorHAnsi" w:hAnsiTheme="majorHAnsi"/>
        </w:rPr>
        <w:t>C</w:t>
      </w:r>
      <w:r w:rsidR="00DD24BA">
        <w:rPr>
          <w:rFonts w:asciiTheme="majorHAnsi" w:hAnsiTheme="majorHAnsi"/>
        </w:rPr>
        <w:t>al</w:t>
      </w:r>
      <w:r w:rsidR="00723BEA">
        <w:rPr>
          <w:rFonts w:asciiTheme="majorHAnsi" w:hAnsiTheme="majorHAnsi"/>
        </w:rPr>
        <w:t>VCB</w:t>
      </w:r>
      <w:proofErr w:type="spellEnd"/>
      <w:r w:rsidRPr="0017221F">
        <w:rPr>
          <w:rFonts w:asciiTheme="majorHAnsi" w:hAnsiTheme="majorHAnsi"/>
        </w:rPr>
        <w:t xml:space="preserve"> remains the </w:t>
      </w:r>
      <w:proofErr w:type="spellStart"/>
      <w:r w:rsidRPr="0017221F">
        <w:rPr>
          <w:rFonts w:asciiTheme="majorHAnsi" w:hAnsiTheme="majorHAnsi"/>
        </w:rPr>
        <w:t>payor</w:t>
      </w:r>
      <w:proofErr w:type="spellEnd"/>
      <w:r w:rsidRPr="0017221F">
        <w:rPr>
          <w:rFonts w:asciiTheme="majorHAnsi" w:hAnsiTheme="majorHAnsi"/>
        </w:rPr>
        <w:t xml:space="preserve"> of last resort</w:t>
      </w:r>
      <w:r w:rsidRPr="0017221F">
        <w:rPr>
          <w:rStyle w:val="FootnoteReference"/>
          <w:rFonts w:asciiTheme="majorHAnsi" w:hAnsiTheme="majorHAnsi"/>
        </w:rPr>
        <w:footnoteReference w:id="4"/>
      </w:r>
      <w:r w:rsidR="00723BEA">
        <w:rPr>
          <w:rFonts w:asciiTheme="majorHAnsi" w:hAnsiTheme="majorHAnsi"/>
        </w:rPr>
        <w:t xml:space="preserve"> and that the federal government reimburses the state of California for 60% of crime victims state claims.</w:t>
      </w:r>
      <w:r w:rsidR="00723BEA">
        <w:rPr>
          <w:rStyle w:val="FootnoteReference"/>
          <w:rFonts w:asciiTheme="majorHAnsi" w:hAnsiTheme="majorHAnsi"/>
        </w:rPr>
        <w:footnoteReference w:id="5"/>
      </w:r>
    </w:p>
    <w:p w14:paraId="79854A2E" w14:textId="77777777" w:rsidR="002218E4" w:rsidRPr="002218E4" w:rsidRDefault="002218E4" w:rsidP="00925988">
      <w:pPr>
        <w:spacing w:after="0" w:line="240" w:lineRule="auto"/>
        <w:rPr>
          <w:rFonts w:asciiTheme="majorHAnsi" w:eastAsia="Times New Roman" w:hAnsiTheme="majorHAnsi" w:cs="Times New Roman"/>
          <w:sz w:val="24"/>
          <w:szCs w:val="24"/>
        </w:rPr>
      </w:pPr>
    </w:p>
    <w:p w14:paraId="37A95741" w14:textId="03C509CF" w:rsidR="004727D3" w:rsidRPr="00973395" w:rsidRDefault="00DD24BA" w:rsidP="00C34E66">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sz w:val="24"/>
          <w:szCs w:val="24"/>
        </w:rPr>
        <w:t>To</w:t>
      </w:r>
      <w:r w:rsidR="00723BEA">
        <w:rPr>
          <w:rFonts w:asciiTheme="majorHAnsi" w:eastAsia="Times New Roman" w:hAnsiTheme="majorHAnsi" w:cs="Times New Roman"/>
          <w:sz w:val="24"/>
          <w:szCs w:val="24"/>
        </w:rPr>
        <w:t xml:space="preserve"> understand AB 629’s </w:t>
      </w:r>
      <w:r>
        <w:rPr>
          <w:rFonts w:asciiTheme="majorHAnsi" w:eastAsia="Times New Roman" w:hAnsiTheme="majorHAnsi" w:cs="Times New Roman"/>
          <w:sz w:val="24"/>
          <w:szCs w:val="24"/>
        </w:rPr>
        <w:t xml:space="preserve">realistic </w:t>
      </w:r>
      <w:r w:rsidR="00723BEA">
        <w:rPr>
          <w:rFonts w:asciiTheme="majorHAnsi" w:eastAsia="Times New Roman" w:hAnsiTheme="majorHAnsi" w:cs="Times New Roman"/>
          <w:sz w:val="24"/>
          <w:szCs w:val="24"/>
        </w:rPr>
        <w:t xml:space="preserve">fiscal </w:t>
      </w:r>
      <w:r w:rsidR="00925988">
        <w:rPr>
          <w:rFonts w:asciiTheme="majorHAnsi" w:eastAsia="Times New Roman" w:hAnsiTheme="majorHAnsi" w:cs="Times New Roman"/>
          <w:sz w:val="24"/>
          <w:szCs w:val="24"/>
        </w:rPr>
        <w:t xml:space="preserve">impact </w:t>
      </w:r>
      <w:r w:rsidR="002218E4" w:rsidRPr="002218E4">
        <w:rPr>
          <w:rFonts w:asciiTheme="majorHAnsi" w:eastAsia="Times New Roman" w:hAnsiTheme="majorHAnsi" w:cs="Times New Roman"/>
          <w:sz w:val="24"/>
          <w:szCs w:val="24"/>
        </w:rPr>
        <w:t xml:space="preserve">it is critical to consider the average duration of trafficking crimes because </w:t>
      </w:r>
      <w:r w:rsidR="00011613">
        <w:rPr>
          <w:rFonts w:asciiTheme="majorHAnsi" w:eastAsia="Times New Roman" w:hAnsiTheme="majorHAnsi" w:cs="Times New Roman"/>
          <w:sz w:val="24"/>
          <w:szCs w:val="24"/>
        </w:rPr>
        <w:t xml:space="preserve">AB 629 </w:t>
      </w:r>
      <w:r w:rsidR="002218E4" w:rsidRPr="002218E4">
        <w:rPr>
          <w:rFonts w:asciiTheme="majorHAnsi" w:eastAsia="Times New Roman" w:hAnsiTheme="majorHAnsi" w:cs="Times New Roman"/>
          <w:sz w:val="24"/>
          <w:szCs w:val="24"/>
        </w:rPr>
        <w:t>proposes compensating victims based on the length of time in their trafficking situation, up to a maximum of $10,000 a year for 2 years. CAST analyzed its data on approximately 1,500 victims</w:t>
      </w:r>
      <w:r w:rsidR="0092598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who</w:t>
      </w:r>
      <w:r w:rsidR="002218E4" w:rsidRPr="002218E4">
        <w:rPr>
          <w:rFonts w:asciiTheme="majorHAnsi" w:eastAsia="Times New Roman" w:hAnsiTheme="majorHAnsi" w:cs="Times New Roman"/>
          <w:sz w:val="24"/>
          <w:szCs w:val="24"/>
        </w:rPr>
        <w:t xml:space="preserve"> it has</w:t>
      </w:r>
      <w:r w:rsidR="00CA6682">
        <w:rPr>
          <w:rFonts w:asciiTheme="majorHAnsi" w:eastAsia="Times New Roman" w:hAnsiTheme="majorHAnsi" w:cs="Times New Roman"/>
          <w:sz w:val="24"/>
          <w:szCs w:val="24"/>
        </w:rPr>
        <w:t xml:space="preserve"> served</w:t>
      </w:r>
      <w:r w:rsidR="00663427">
        <w:rPr>
          <w:rFonts w:asciiTheme="majorHAnsi" w:eastAsia="Times New Roman" w:hAnsiTheme="majorHAnsi" w:cs="Times New Roman"/>
          <w:sz w:val="24"/>
          <w:szCs w:val="24"/>
        </w:rPr>
        <w:t xml:space="preserve">, </w:t>
      </w:r>
      <w:proofErr w:type="gramStart"/>
      <w:r w:rsidR="00663427">
        <w:rPr>
          <w:rFonts w:asciiTheme="majorHAnsi" w:eastAsia="Times New Roman" w:hAnsiTheme="majorHAnsi" w:cs="Times New Roman"/>
          <w:sz w:val="24"/>
          <w:szCs w:val="24"/>
        </w:rPr>
        <w:t xml:space="preserve">and </w:t>
      </w:r>
      <w:r w:rsidR="002218E4">
        <w:rPr>
          <w:rFonts w:asciiTheme="majorHAnsi" w:eastAsia="Times New Roman" w:hAnsiTheme="majorHAnsi" w:cs="Times New Roman"/>
          <w:sz w:val="24"/>
          <w:szCs w:val="24"/>
        </w:rPr>
        <w:t xml:space="preserve"> found</w:t>
      </w:r>
      <w:proofErr w:type="gramEnd"/>
      <w:r w:rsidR="002218E4">
        <w:rPr>
          <w:rFonts w:asciiTheme="majorHAnsi" w:eastAsia="Times New Roman" w:hAnsiTheme="majorHAnsi" w:cs="Times New Roman"/>
          <w:sz w:val="24"/>
          <w:szCs w:val="24"/>
        </w:rPr>
        <w:t xml:space="preserve"> that on 25% of victims were enslaved for over two years and the majority</w:t>
      </w:r>
      <w:r w:rsidR="00925988">
        <w:rPr>
          <w:rFonts w:asciiTheme="majorHAnsi" w:eastAsia="Times New Roman" w:hAnsiTheme="majorHAnsi" w:cs="Times New Roman"/>
          <w:sz w:val="24"/>
          <w:szCs w:val="24"/>
        </w:rPr>
        <w:t xml:space="preserve"> </w:t>
      </w:r>
      <w:r w:rsidR="002218E4">
        <w:rPr>
          <w:rFonts w:asciiTheme="majorHAnsi" w:eastAsia="Times New Roman" w:hAnsiTheme="majorHAnsi" w:cs="Times New Roman"/>
          <w:sz w:val="24"/>
          <w:szCs w:val="24"/>
        </w:rPr>
        <w:t xml:space="preserve">were enslaved for 6 months or less.  This means that the majority of human trafficking victims under AB 629 likely to file claims would be </w:t>
      </w:r>
      <w:r w:rsidR="00CA6682">
        <w:rPr>
          <w:rFonts w:asciiTheme="majorHAnsi" w:eastAsia="Times New Roman" w:hAnsiTheme="majorHAnsi" w:cs="Times New Roman"/>
          <w:sz w:val="24"/>
          <w:szCs w:val="24"/>
        </w:rPr>
        <w:t>compensated between</w:t>
      </w:r>
      <w:r w:rsidR="002218E4">
        <w:rPr>
          <w:rFonts w:asciiTheme="majorHAnsi" w:eastAsia="Times New Roman" w:hAnsiTheme="majorHAnsi" w:cs="Times New Roman"/>
          <w:sz w:val="24"/>
          <w:szCs w:val="24"/>
        </w:rPr>
        <w:t xml:space="preserve"> $</w:t>
      </w:r>
      <w:r w:rsidR="002218E4" w:rsidRPr="002218E4">
        <w:rPr>
          <w:rFonts w:asciiTheme="majorHAnsi" w:eastAsia="Times New Roman" w:hAnsiTheme="majorHAnsi" w:cs="Times New Roman"/>
          <w:b/>
          <w:sz w:val="24"/>
          <w:szCs w:val="24"/>
        </w:rPr>
        <w:t xml:space="preserve">1,690 and </w:t>
      </w:r>
      <w:r w:rsidR="002218E4">
        <w:rPr>
          <w:rFonts w:asciiTheme="majorHAnsi" w:eastAsia="Times New Roman" w:hAnsiTheme="majorHAnsi" w:cs="Times New Roman"/>
          <w:b/>
          <w:sz w:val="24"/>
          <w:szCs w:val="24"/>
        </w:rPr>
        <w:t>$</w:t>
      </w:r>
      <w:r w:rsidR="002218E4" w:rsidRPr="002218E4">
        <w:rPr>
          <w:rFonts w:asciiTheme="majorHAnsi" w:eastAsia="Times New Roman" w:hAnsiTheme="majorHAnsi" w:cs="Times New Roman"/>
          <w:b/>
          <w:sz w:val="24"/>
          <w:szCs w:val="24"/>
        </w:rPr>
        <w:t>10,000</w:t>
      </w:r>
      <w:r w:rsidR="002218E4">
        <w:rPr>
          <w:rFonts w:asciiTheme="majorHAnsi" w:eastAsia="Times New Roman" w:hAnsiTheme="majorHAnsi" w:cs="Times New Roman"/>
          <w:b/>
          <w:sz w:val="24"/>
          <w:szCs w:val="24"/>
        </w:rPr>
        <w:t xml:space="preserve"> for their work</w:t>
      </w:r>
      <w:r w:rsidR="002218E4" w:rsidRPr="002218E4">
        <w:rPr>
          <w:rFonts w:asciiTheme="majorHAnsi" w:eastAsia="Times New Roman" w:hAnsiTheme="majorHAnsi" w:cs="Times New Roman"/>
          <w:b/>
          <w:sz w:val="24"/>
          <w:szCs w:val="24"/>
        </w:rPr>
        <w:t xml:space="preserve"> </w:t>
      </w:r>
      <w:r w:rsidR="00011613">
        <w:rPr>
          <w:rFonts w:asciiTheme="majorHAnsi" w:eastAsia="Times New Roman" w:hAnsiTheme="majorHAnsi" w:cs="Times New Roman"/>
          <w:b/>
          <w:sz w:val="24"/>
          <w:szCs w:val="24"/>
        </w:rPr>
        <w:t xml:space="preserve">or services </w:t>
      </w:r>
      <w:r w:rsidR="002218E4" w:rsidRPr="002218E4">
        <w:rPr>
          <w:rFonts w:asciiTheme="majorHAnsi" w:eastAsia="Times New Roman" w:hAnsiTheme="majorHAnsi" w:cs="Times New Roman"/>
          <w:b/>
          <w:sz w:val="24"/>
          <w:szCs w:val="24"/>
        </w:rPr>
        <w:t>during enslavement.</w:t>
      </w:r>
      <w:r w:rsidR="00663427">
        <w:rPr>
          <w:rFonts w:asciiTheme="majorHAnsi" w:eastAsia="Times New Roman" w:hAnsiTheme="majorHAnsi" w:cs="Times New Roman"/>
          <w:b/>
          <w:sz w:val="24"/>
          <w:szCs w:val="24"/>
        </w:rPr>
        <w:t xml:space="preserve"> </w:t>
      </w:r>
      <w:r w:rsidR="002218E4" w:rsidRPr="002218E4">
        <w:rPr>
          <w:rFonts w:asciiTheme="majorHAnsi" w:eastAsia="Times New Roman" w:hAnsiTheme="majorHAnsi" w:cs="Times New Roman"/>
          <w:sz w:val="24"/>
          <w:szCs w:val="24"/>
        </w:rPr>
        <w:t xml:space="preserve">To date, the number of human trafficking victims applying to </w:t>
      </w:r>
      <w:proofErr w:type="spellStart"/>
      <w:r w:rsidR="002218E4" w:rsidRPr="002218E4">
        <w:rPr>
          <w:rFonts w:asciiTheme="majorHAnsi" w:eastAsia="Times New Roman" w:hAnsiTheme="majorHAnsi" w:cs="Times New Roman"/>
          <w:sz w:val="24"/>
          <w:szCs w:val="24"/>
        </w:rPr>
        <w:t>CalVC</w:t>
      </w:r>
      <w:r w:rsidR="00663427">
        <w:rPr>
          <w:rFonts w:asciiTheme="majorHAnsi" w:eastAsia="Times New Roman" w:hAnsiTheme="majorHAnsi" w:cs="Times New Roman"/>
          <w:sz w:val="24"/>
          <w:szCs w:val="24"/>
        </w:rPr>
        <w:t>B</w:t>
      </w:r>
      <w:proofErr w:type="spellEnd"/>
      <w:r w:rsidR="002218E4" w:rsidRPr="002218E4">
        <w:rPr>
          <w:rFonts w:asciiTheme="majorHAnsi" w:eastAsia="Times New Roman" w:hAnsiTheme="majorHAnsi" w:cs="Times New Roman"/>
          <w:sz w:val="24"/>
          <w:szCs w:val="24"/>
        </w:rPr>
        <w:t xml:space="preserve"> annually has been modest, and has never totaled over 200 victims.</w:t>
      </w:r>
      <w:r w:rsidR="002218E4">
        <w:rPr>
          <w:rFonts w:asciiTheme="majorHAnsi" w:eastAsia="Times New Roman" w:hAnsiTheme="majorHAnsi" w:cs="Times New Roman"/>
          <w:sz w:val="24"/>
          <w:szCs w:val="24"/>
        </w:rPr>
        <w:t xml:space="preserve"> </w:t>
      </w:r>
    </w:p>
    <w:p w14:paraId="4FC2F1D2" w14:textId="63D48690" w:rsidR="004727D3" w:rsidRPr="004727D3" w:rsidRDefault="004727D3" w:rsidP="004727D3">
      <w:pPr>
        <w:spacing w:after="0" w:line="240" w:lineRule="auto"/>
        <w:rPr>
          <w:sz w:val="20"/>
          <w:szCs w:val="20"/>
        </w:rPr>
      </w:pPr>
      <w:r w:rsidRPr="004727D3">
        <w:rPr>
          <w:sz w:val="20"/>
          <w:szCs w:val="20"/>
        </w:rPr>
        <w:t>.</w:t>
      </w:r>
    </w:p>
    <w:tbl>
      <w:tblPr>
        <w:tblW w:w="8970" w:type="dxa"/>
        <w:tblCellMar>
          <w:left w:w="0" w:type="dxa"/>
          <w:right w:w="0" w:type="dxa"/>
        </w:tblCellMar>
        <w:tblLook w:val="04A0" w:firstRow="1" w:lastRow="0" w:firstColumn="1" w:lastColumn="0" w:noHBand="0" w:noVBand="1"/>
      </w:tblPr>
      <w:tblGrid>
        <w:gridCol w:w="4140"/>
        <w:gridCol w:w="1080"/>
        <w:gridCol w:w="900"/>
        <w:gridCol w:w="900"/>
        <w:gridCol w:w="900"/>
        <w:gridCol w:w="90"/>
        <w:gridCol w:w="870"/>
        <w:gridCol w:w="90"/>
      </w:tblGrid>
      <w:tr w:rsidR="004727D3" w:rsidRPr="004727D3" w14:paraId="3E2668BD" w14:textId="77777777" w:rsidTr="008C6ED7">
        <w:trPr>
          <w:trHeight w:val="300"/>
        </w:trPr>
        <w:tc>
          <w:tcPr>
            <w:tcW w:w="8010" w:type="dxa"/>
            <w:gridSpan w:val="6"/>
            <w:noWrap/>
            <w:tcMar>
              <w:top w:w="0" w:type="dxa"/>
              <w:left w:w="108" w:type="dxa"/>
              <w:bottom w:w="0" w:type="dxa"/>
              <w:right w:w="108" w:type="dxa"/>
            </w:tcMar>
            <w:vAlign w:val="bottom"/>
            <w:hideMark/>
          </w:tcPr>
          <w:p w14:paraId="04C3E1E8" w14:textId="4B570BE9" w:rsidR="004727D3" w:rsidRPr="007A2BEE" w:rsidRDefault="004727D3" w:rsidP="00723BEA">
            <w:pPr>
              <w:spacing w:after="0" w:line="240" w:lineRule="auto"/>
              <w:rPr>
                <w:rFonts w:asciiTheme="majorHAnsi" w:eastAsia="Times New Roman" w:hAnsiTheme="majorHAnsi" w:cs="Times New Roman"/>
                <w:sz w:val="24"/>
                <w:szCs w:val="24"/>
              </w:rPr>
            </w:pPr>
            <w:r w:rsidRPr="004727D3">
              <w:rPr>
                <w:b/>
                <w:bCs/>
                <w:i/>
                <w:iCs/>
                <w:color w:val="000000"/>
              </w:rPr>
              <w:t>Human Trafficking Claimants Received and Paid, CY2014 - CY2018</w:t>
            </w:r>
            <w:r w:rsidR="007A2BEE">
              <w:rPr>
                <w:rStyle w:val="FootnoteReference"/>
                <w:b/>
                <w:bCs/>
                <w:i/>
                <w:iCs/>
                <w:color w:val="000000"/>
              </w:rPr>
              <w:footnoteReference w:id="6"/>
            </w:r>
            <w:r w:rsidR="007A2BEE">
              <w:rPr>
                <w:b/>
                <w:bCs/>
                <w:i/>
                <w:iCs/>
                <w:color w:val="000000"/>
              </w:rPr>
              <w:t xml:space="preserve"> </w:t>
            </w:r>
          </w:p>
        </w:tc>
        <w:tc>
          <w:tcPr>
            <w:tcW w:w="960" w:type="dxa"/>
            <w:gridSpan w:val="2"/>
            <w:noWrap/>
            <w:tcMar>
              <w:top w:w="0" w:type="dxa"/>
              <w:left w:w="108" w:type="dxa"/>
              <w:bottom w:w="0" w:type="dxa"/>
              <w:right w:w="108" w:type="dxa"/>
            </w:tcMar>
            <w:vAlign w:val="bottom"/>
            <w:hideMark/>
          </w:tcPr>
          <w:p w14:paraId="69BE21DF" w14:textId="77777777" w:rsidR="004727D3" w:rsidRPr="004727D3" w:rsidRDefault="004727D3" w:rsidP="004727D3">
            <w:pPr>
              <w:rPr>
                <w:rFonts w:ascii="Times New Roman" w:eastAsia="Times New Roman" w:hAnsi="Times New Roman" w:cs="Times New Roman"/>
                <w:sz w:val="20"/>
                <w:szCs w:val="20"/>
              </w:rPr>
            </w:pPr>
          </w:p>
        </w:tc>
      </w:tr>
      <w:tr w:rsidR="004727D3" w:rsidRPr="004727D3" w14:paraId="7AC9FF98" w14:textId="77777777" w:rsidTr="008C6ED7">
        <w:trPr>
          <w:trHeight w:val="300"/>
        </w:trPr>
        <w:tc>
          <w:tcPr>
            <w:tcW w:w="4140" w:type="dxa"/>
            <w:tcBorders>
              <w:top w:val="single" w:sz="8" w:space="0" w:color="auto"/>
              <w:left w:val="single" w:sz="8" w:space="0" w:color="auto"/>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628CF6BF" w14:textId="77777777" w:rsidR="004727D3" w:rsidRPr="004727D3" w:rsidRDefault="004727D3" w:rsidP="004727D3">
            <w:pPr>
              <w:rPr>
                <w:rFonts w:ascii="Calibri" w:hAnsi="Calibri" w:cs="Calibri"/>
                <w:color w:val="000000"/>
              </w:rPr>
            </w:pPr>
            <w:r w:rsidRPr="004727D3">
              <w:rPr>
                <w:color w:val="000000"/>
              </w:rPr>
              <w:t> </w:t>
            </w:r>
          </w:p>
        </w:tc>
        <w:tc>
          <w:tcPr>
            <w:tcW w:w="1080" w:type="dxa"/>
            <w:tcBorders>
              <w:top w:val="single" w:sz="8" w:space="0" w:color="auto"/>
              <w:left w:val="nil"/>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54E2E04B" w14:textId="77777777" w:rsidR="004727D3" w:rsidRPr="004727D3" w:rsidRDefault="004727D3" w:rsidP="004727D3">
            <w:pPr>
              <w:jc w:val="center"/>
              <w:rPr>
                <w:rFonts w:ascii="Calibri" w:hAnsi="Calibri" w:cs="Calibri"/>
                <w:b/>
                <w:bCs/>
                <w:color w:val="FFFFFF"/>
              </w:rPr>
            </w:pPr>
            <w:r w:rsidRPr="004727D3">
              <w:rPr>
                <w:b/>
                <w:bCs/>
                <w:color w:val="FFFFFF"/>
              </w:rPr>
              <w:t>CY2014</w:t>
            </w:r>
          </w:p>
        </w:tc>
        <w:tc>
          <w:tcPr>
            <w:tcW w:w="900" w:type="dxa"/>
            <w:tcBorders>
              <w:top w:val="single" w:sz="8" w:space="0" w:color="auto"/>
              <w:left w:val="nil"/>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1EC36E19" w14:textId="77777777" w:rsidR="004727D3" w:rsidRPr="004727D3" w:rsidRDefault="004727D3" w:rsidP="004727D3">
            <w:pPr>
              <w:jc w:val="center"/>
              <w:rPr>
                <w:rFonts w:ascii="Calibri" w:hAnsi="Calibri" w:cs="Calibri"/>
                <w:b/>
                <w:bCs/>
                <w:color w:val="FFFFFF"/>
              </w:rPr>
            </w:pPr>
            <w:r w:rsidRPr="004727D3">
              <w:rPr>
                <w:b/>
                <w:bCs/>
                <w:color w:val="FFFFFF"/>
              </w:rPr>
              <w:t>CY2015</w:t>
            </w:r>
          </w:p>
        </w:tc>
        <w:tc>
          <w:tcPr>
            <w:tcW w:w="900" w:type="dxa"/>
            <w:tcBorders>
              <w:top w:val="single" w:sz="8" w:space="0" w:color="auto"/>
              <w:left w:val="nil"/>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4A63682F" w14:textId="77777777" w:rsidR="004727D3" w:rsidRPr="004727D3" w:rsidRDefault="004727D3" w:rsidP="004727D3">
            <w:pPr>
              <w:jc w:val="center"/>
              <w:rPr>
                <w:rFonts w:ascii="Calibri" w:hAnsi="Calibri" w:cs="Calibri"/>
                <w:b/>
                <w:bCs/>
                <w:color w:val="FFFFFF"/>
              </w:rPr>
            </w:pPr>
            <w:r w:rsidRPr="004727D3">
              <w:rPr>
                <w:b/>
                <w:bCs/>
                <w:color w:val="FFFFFF"/>
              </w:rPr>
              <w:t>CY2016</w:t>
            </w:r>
          </w:p>
        </w:tc>
        <w:tc>
          <w:tcPr>
            <w:tcW w:w="900" w:type="dxa"/>
            <w:tcBorders>
              <w:top w:val="single" w:sz="8" w:space="0" w:color="auto"/>
              <w:left w:val="nil"/>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62A0A844" w14:textId="77777777" w:rsidR="004727D3" w:rsidRPr="004727D3" w:rsidRDefault="004727D3" w:rsidP="004727D3">
            <w:pPr>
              <w:jc w:val="center"/>
              <w:rPr>
                <w:rFonts w:ascii="Calibri" w:hAnsi="Calibri" w:cs="Calibri"/>
                <w:b/>
                <w:bCs/>
                <w:color w:val="FFFFFF"/>
              </w:rPr>
            </w:pPr>
            <w:r w:rsidRPr="004727D3">
              <w:rPr>
                <w:b/>
                <w:bCs/>
                <w:color w:val="FFFFFF"/>
              </w:rPr>
              <w:t>CY2017</w:t>
            </w:r>
          </w:p>
        </w:tc>
        <w:tc>
          <w:tcPr>
            <w:tcW w:w="960" w:type="dxa"/>
            <w:gridSpan w:val="2"/>
            <w:tcBorders>
              <w:top w:val="single" w:sz="8" w:space="0" w:color="auto"/>
              <w:left w:val="nil"/>
              <w:bottom w:val="single" w:sz="8" w:space="0" w:color="auto"/>
              <w:right w:val="single" w:sz="8" w:space="0" w:color="auto"/>
            </w:tcBorders>
            <w:shd w:val="clear" w:color="auto" w:fill="1F4E78"/>
            <w:noWrap/>
            <w:tcMar>
              <w:top w:w="0" w:type="dxa"/>
              <w:left w:w="108" w:type="dxa"/>
              <w:bottom w:w="0" w:type="dxa"/>
              <w:right w:w="108" w:type="dxa"/>
            </w:tcMar>
            <w:vAlign w:val="bottom"/>
            <w:hideMark/>
          </w:tcPr>
          <w:p w14:paraId="486426B3" w14:textId="77777777" w:rsidR="004727D3" w:rsidRPr="004727D3" w:rsidRDefault="004727D3" w:rsidP="004727D3">
            <w:pPr>
              <w:jc w:val="center"/>
              <w:rPr>
                <w:rFonts w:ascii="Calibri" w:hAnsi="Calibri" w:cs="Calibri"/>
                <w:b/>
                <w:bCs/>
                <w:color w:val="FFFFFF"/>
              </w:rPr>
            </w:pPr>
            <w:r w:rsidRPr="004727D3">
              <w:rPr>
                <w:b/>
                <w:bCs/>
                <w:color w:val="FFFFFF"/>
              </w:rPr>
              <w:t>CY2018</w:t>
            </w:r>
          </w:p>
        </w:tc>
        <w:tc>
          <w:tcPr>
            <w:tcW w:w="90" w:type="dxa"/>
            <w:vAlign w:val="center"/>
            <w:hideMark/>
          </w:tcPr>
          <w:p w14:paraId="452D6D61" w14:textId="77777777" w:rsidR="004727D3" w:rsidRPr="004727D3" w:rsidRDefault="004727D3" w:rsidP="004727D3">
            <w:pPr>
              <w:rPr>
                <w:rFonts w:ascii="Calibri" w:hAnsi="Calibri" w:cs="Calibri"/>
              </w:rPr>
            </w:pPr>
            <w:r w:rsidRPr="004727D3">
              <w:t> </w:t>
            </w:r>
          </w:p>
        </w:tc>
      </w:tr>
      <w:tr w:rsidR="004727D3" w:rsidRPr="004727D3" w14:paraId="16DA1DA8" w14:textId="77777777" w:rsidTr="008C6ED7">
        <w:trPr>
          <w:trHeight w:val="300"/>
        </w:trPr>
        <w:tc>
          <w:tcPr>
            <w:tcW w:w="4140"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25F76DC" w14:textId="77777777" w:rsidR="004727D3" w:rsidRPr="004727D3" w:rsidRDefault="004727D3" w:rsidP="004727D3">
            <w:pPr>
              <w:rPr>
                <w:rFonts w:ascii="Calibri" w:hAnsi="Calibri" w:cs="Calibri"/>
                <w:b/>
                <w:bCs/>
                <w:color w:val="FFFFFF"/>
              </w:rPr>
            </w:pPr>
            <w:r w:rsidRPr="004727D3">
              <w:rPr>
                <w:b/>
                <w:bCs/>
                <w:color w:val="FFFFFF"/>
              </w:rPr>
              <w:t>Applications Received</w:t>
            </w:r>
          </w:p>
        </w:tc>
        <w:tc>
          <w:tcPr>
            <w:tcW w:w="108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35FAD84" w14:textId="77777777" w:rsidR="004727D3" w:rsidRPr="004727D3" w:rsidRDefault="004727D3" w:rsidP="004727D3">
            <w:pPr>
              <w:jc w:val="right"/>
              <w:rPr>
                <w:rFonts w:ascii="Calibri" w:hAnsi="Calibri" w:cs="Calibri"/>
                <w:b/>
                <w:bCs/>
                <w:color w:val="FFFFFF"/>
              </w:rPr>
            </w:pPr>
            <w:r w:rsidRPr="004727D3">
              <w:rPr>
                <w:b/>
                <w:bCs/>
                <w:color w:val="FFFFFF"/>
              </w:rPr>
              <w:t>131</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8906164" w14:textId="77777777" w:rsidR="004727D3" w:rsidRPr="004727D3" w:rsidRDefault="004727D3" w:rsidP="004727D3">
            <w:pPr>
              <w:jc w:val="right"/>
              <w:rPr>
                <w:rFonts w:ascii="Calibri" w:hAnsi="Calibri" w:cs="Calibri"/>
                <w:b/>
                <w:bCs/>
                <w:color w:val="FFFFFF"/>
              </w:rPr>
            </w:pPr>
            <w:r w:rsidRPr="004727D3">
              <w:rPr>
                <w:b/>
                <w:bCs/>
                <w:color w:val="FFFFFF"/>
              </w:rPr>
              <w:t>203</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5F51B43" w14:textId="77777777" w:rsidR="004727D3" w:rsidRPr="004727D3" w:rsidRDefault="004727D3" w:rsidP="004727D3">
            <w:pPr>
              <w:jc w:val="right"/>
              <w:rPr>
                <w:rFonts w:ascii="Calibri" w:hAnsi="Calibri" w:cs="Calibri"/>
                <w:b/>
                <w:bCs/>
                <w:color w:val="FFFFFF"/>
              </w:rPr>
            </w:pPr>
            <w:r w:rsidRPr="004727D3">
              <w:rPr>
                <w:b/>
                <w:bCs/>
                <w:color w:val="FFFFFF"/>
              </w:rPr>
              <w:t>238</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7239C54" w14:textId="77777777" w:rsidR="004727D3" w:rsidRPr="004727D3" w:rsidRDefault="004727D3" w:rsidP="004727D3">
            <w:pPr>
              <w:jc w:val="right"/>
              <w:rPr>
                <w:rFonts w:ascii="Calibri" w:hAnsi="Calibri" w:cs="Calibri"/>
                <w:b/>
                <w:bCs/>
                <w:color w:val="FFFFFF"/>
              </w:rPr>
            </w:pPr>
            <w:r w:rsidRPr="004727D3">
              <w:rPr>
                <w:b/>
                <w:bCs/>
                <w:color w:val="FFFFFF"/>
              </w:rPr>
              <w:t>146</w:t>
            </w:r>
          </w:p>
        </w:tc>
        <w:tc>
          <w:tcPr>
            <w:tcW w:w="960" w:type="dxa"/>
            <w:gridSpan w:val="2"/>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C3104D4" w14:textId="77777777" w:rsidR="004727D3" w:rsidRPr="004727D3" w:rsidRDefault="004727D3" w:rsidP="004727D3">
            <w:pPr>
              <w:jc w:val="right"/>
              <w:rPr>
                <w:rFonts w:ascii="Calibri" w:hAnsi="Calibri" w:cs="Calibri"/>
                <w:b/>
                <w:bCs/>
                <w:color w:val="FFFFFF"/>
              </w:rPr>
            </w:pPr>
            <w:r w:rsidRPr="004727D3">
              <w:rPr>
                <w:b/>
                <w:bCs/>
                <w:color w:val="FFFFFF"/>
              </w:rPr>
              <w:t>189</w:t>
            </w:r>
          </w:p>
        </w:tc>
        <w:tc>
          <w:tcPr>
            <w:tcW w:w="90" w:type="dxa"/>
            <w:vAlign w:val="center"/>
            <w:hideMark/>
          </w:tcPr>
          <w:p w14:paraId="0F930958" w14:textId="77777777" w:rsidR="004727D3" w:rsidRPr="004727D3" w:rsidRDefault="004727D3" w:rsidP="004727D3">
            <w:pPr>
              <w:rPr>
                <w:rFonts w:ascii="Calibri" w:hAnsi="Calibri" w:cs="Calibri"/>
              </w:rPr>
            </w:pPr>
            <w:r w:rsidRPr="004727D3">
              <w:t> </w:t>
            </w:r>
          </w:p>
        </w:tc>
      </w:tr>
      <w:tr w:rsidR="004727D3" w:rsidRPr="004727D3" w14:paraId="08C2011B" w14:textId="77777777" w:rsidTr="008C6ED7">
        <w:trPr>
          <w:trHeight w:val="300"/>
        </w:trPr>
        <w:tc>
          <w:tcPr>
            <w:tcW w:w="4140"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8B081B5" w14:textId="77777777" w:rsidR="004727D3" w:rsidRPr="004727D3" w:rsidRDefault="004727D3" w:rsidP="004727D3">
            <w:pPr>
              <w:rPr>
                <w:rFonts w:ascii="Calibri" w:hAnsi="Calibri" w:cs="Calibri"/>
                <w:b/>
                <w:bCs/>
                <w:color w:val="FFFFFF"/>
              </w:rPr>
            </w:pPr>
            <w:r w:rsidRPr="004727D3">
              <w:rPr>
                <w:b/>
                <w:bCs/>
                <w:color w:val="FFFFFF"/>
              </w:rPr>
              <w:t>Applications Processed</w:t>
            </w:r>
          </w:p>
        </w:tc>
        <w:tc>
          <w:tcPr>
            <w:tcW w:w="108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66CE821" w14:textId="77777777" w:rsidR="004727D3" w:rsidRPr="004727D3" w:rsidRDefault="004727D3" w:rsidP="004727D3">
            <w:pPr>
              <w:jc w:val="right"/>
              <w:rPr>
                <w:rFonts w:ascii="Calibri" w:hAnsi="Calibri" w:cs="Calibri"/>
                <w:b/>
                <w:bCs/>
                <w:color w:val="FFFFFF"/>
              </w:rPr>
            </w:pPr>
            <w:r w:rsidRPr="004727D3">
              <w:rPr>
                <w:b/>
                <w:bCs/>
                <w:color w:val="FFFFFF"/>
              </w:rPr>
              <w:t>132</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0B11F8A2" w14:textId="77777777" w:rsidR="004727D3" w:rsidRPr="004727D3" w:rsidRDefault="004727D3" w:rsidP="004727D3">
            <w:pPr>
              <w:jc w:val="right"/>
              <w:rPr>
                <w:rFonts w:ascii="Calibri" w:hAnsi="Calibri" w:cs="Calibri"/>
                <w:b/>
                <w:bCs/>
                <w:color w:val="FFFFFF"/>
              </w:rPr>
            </w:pPr>
            <w:r w:rsidRPr="004727D3">
              <w:rPr>
                <w:b/>
                <w:bCs/>
                <w:color w:val="FFFFFF"/>
              </w:rPr>
              <w:t>186</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B7C0CA2" w14:textId="77777777" w:rsidR="004727D3" w:rsidRPr="004727D3" w:rsidRDefault="004727D3" w:rsidP="004727D3">
            <w:pPr>
              <w:jc w:val="right"/>
              <w:rPr>
                <w:rFonts w:ascii="Calibri" w:hAnsi="Calibri" w:cs="Calibri"/>
                <w:b/>
                <w:bCs/>
                <w:color w:val="FFFFFF"/>
              </w:rPr>
            </w:pPr>
            <w:r w:rsidRPr="004727D3">
              <w:rPr>
                <w:b/>
                <w:bCs/>
                <w:color w:val="FFFFFF"/>
              </w:rPr>
              <w:t>241</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70FD7C03" w14:textId="77777777" w:rsidR="004727D3" w:rsidRPr="004727D3" w:rsidRDefault="004727D3" w:rsidP="004727D3">
            <w:pPr>
              <w:jc w:val="right"/>
              <w:rPr>
                <w:rFonts w:ascii="Calibri" w:hAnsi="Calibri" w:cs="Calibri"/>
                <w:b/>
                <w:bCs/>
                <w:color w:val="FFFFFF"/>
              </w:rPr>
            </w:pPr>
            <w:r w:rsidRPr="004727D3">
              <w:rPr>
                <w:b/>
                <w:bCs/>
                <w:color w:val="FFFFFF"/>
              </w:rPr>
              <w:t>133</w:t>
            </w:r>
          </w:p>
        </w:tc>
        <w:tc>
          <w:tcPr>
            <w:tcW w:w="960" w:type="dxa"/>
            <w:gridSpan w:val="2"/>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78B8523" w14:textId="77777777" w:rsidR="004727D3" w:rsidRPr="004727D3" w:rsidRDefault="004727D3" w:rsidP="004727D3">
            <w:pPr>
              <w:jc w:val="right"/>
              <w:rPr>
                <w:rFonts w:ascii="Calibri" w:hAnsi="Calibri" w:cs="Calibri"/>
                <w:b/>
                <w:bCs/>
                <w:color w:val="FFFFFF"/>
              </w:rPr>
            </w:pPr>
            <w:r w:rsidRPr="004727D3">
              <w:rPr>
                <w:b/>
                <w:bCs/>
                <w:color w:val="FFFFFF"/>
              </w:rPr>
              <w:t>210</w:t>
            </w:r>
          </w:p>
        </w:tc>
        <w:tc>
          <w:tcPr>
            <w:tcW w:w="90" w:type="dxa"/>
            <w:vAlign w:val="center"/>
            <w:hideMark/>
          </w:tcPr>
          <w:p w14:paraId="4E7F67E8" w14:textId="77777777" w:rsidR="004727D3" w:rsidRPr="004727D3" w:rsidRDefault="004727D3" w:rsidP="004727D3">
            <w:pPr>
              <w:rPr>
                <w:rFonts w:ascii="Calibri" w:hAnsi="Calibri" w:cs="Calibri"/>
              </w:rPr>
            </w:pPr>
            <w:r w:rsidRPr="004727D3">
              <w:t> </w:t>
            </w:r>
          </w:p>
        </w:tc>
      </w:tr>
      <w:tr w:rsidR="004727D3" w:rsidRPr="004727D3" w14:paraId="65B79C8D" w14:textId="77777777" w:rsidTr="008C6ED7">
        <w:trPr>
          <w:trHeight w:val="300"/>
        </w:trPr>
        <w:tc>
          <w:tcPr>
            <w:tcW w:w="4140"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5B129C6" w14:textId="77777777" w:rsidR="004727D3" w:rsidRPr="004727D3" w:rsidRDefault="004727D3" w:rsidP="004727D3">
            <w:pPr>
              <w:rPr>
                <w:rFonts w:ascii="Calibri" w:hAnsi="Calibri" w:cs="Calibri"/>
                <w:b/>
                <w:bCs/>
                <w:color w:val="FFFFFF"/>
              </w:rPr>
            </w:pPr>
            <w:r w:rsidRPr="004727D3">
              <w:rPr>
                <w:b/>
                <w:bCs/>
                <w:color w:val="FFFFFF"/>
              </w:rPr>
              <w:t>Applications Allowed</w:t>
            </w:r>
          </w:p>
        </w:tc>
        <w:tc>
          <w:tcPr>
            <w:tcW w:w="108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89C56EA" w14:textId="77777777" w:rsidR="004727D3" w:rsidRPr="004727D3" w:rsidRDefault="004727D3" w:rsidP="004727D3">
            <w:pPr>
              <w:jc w:val="right"/>
              <w:rPr>
                <w:rFonts w:ascii="Calibri" w:hAnsi="Calibri" w:cs="Calibri"/>
                <w:b/>
                <w:bCs/>
                <w:color w:val="FFFFFF"/>
              </w:rPr>
            </w:pPr>
            <w:r w:rsidRPr="004727D3">
              <w:rPr>
                <w:b/>
                <w:bCs/>
                <w:color w:val="FFFFFF"/>
              </w:rPr>
              <w:t>124</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0BF1B83" w14:textId="77777777" w:rsidR="004727D3" w:rsidRPr="004727D3" w:rsidRDefault="004727D3" w:rsidP="004727D3">
            <w:pPr>
              <w:jc w:val="right"/>
              <w:rPr>
                <w:rFonts w:ascii="Calibri" w:hAnsi="Calibri" w:cs="Calibri"/>
                <w:b/>
                <w:bCs/>
                <w:color w:val="FFFFFF"/>
              </w:rPr>
            </w:pPr>
            <w:r w:rsidRPr="004727D3">
              <w:rPr>
                <w:b/>
                <w:bCs/>
                <w:color w:val="FFFFFF"/>
              </w:rPr>
              <w:t>171</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2E8F3586" w14:textId="77777777" w:rsidR="004727D3" w:rsidRPr="004727D3" w:rsidRDefault="004727D3" w:rsidP="004727D3">
            <w:pPr>
              <w:jc w:val="right"/>
              <w:rPr>
                <w:rFonts w:ascii="Calibri" w:hAnsi="Calibri" w:cs="Calibri"/>
                <w:b/>
                <w:bCs/>
                <w:color w:val="FFFFFF"/>
              </w:rPr>
            </w:pPr>
            <w:r w:rsidRPr="004727D3">
              <w:rPr>
                <w:b/>
                <w:bCs/>
                <w:color w:val="FFFFFF"/>
              </w:rPr>
              <w:t>224</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70533B7" w14:textId="77777777" w:rsidR="004727D3" w:rsidRPr="004727D3" w:rsidRDefault="004727D3" w:rsidP="004727D3">
            <w:pPr>
              <w:jc w:val="right"/>
              <w:rPr>
                <w:rFonts w:ascii="Calibri" w:hAnsi="Calibri" w:cs="Calibri"/>
                <w:b/>
                <w:bCs/>
                <w:color w:val="FFFFFF"/>
              </w:rPr>
            </w:pPr>
            <w:r w:rsidRPr="004727D3">
              <w:rPr>
                <w:b/>
                <w:bCs/>
                <w:color w:val="FFFFFF"/>
              </w:rPr>
              <w:t>123</w:t>
            </w:r>
          </w:p>
        </w:tc>
        <w:tc>
          <w:tcPr>
            <w:tcW w:w="960" w:type="dxa"/>
            <w:gridSpan w:val="2"/>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2D9DCBBF" w14:textId="77777777" w:rsidR="004727D3" w:rsidRPr="004727D3" w:rsidRDefault="004727D3" w:rsidP="004727D3">
            <w:pPr>
              <w:jc w:val="right"/>
              <w:rPr>
                <w:rFonts w:ascii="Calibri" w:hAnsi="Calibri" w:cs="Calibri"/>
                <w:b/>
                <w:bCs/>
                <w:color w:val="FFFFFF"/>
              </w:rPr>
            </w:pPr>
            <w:r w:rsidRPr="004727D3">
              <w:rPr>
                <w:b/>
                <w:bCs/>
                <w:color w:val="FFFFFF"/>
              </w:rPr>
              <w:t>188</w:t>
            </w:r>
          </w:p>
        </w:tc>
        <w:tc>
          <w:tcPr>
            <w:tcW w:w="90" w:type="dxa"/>
            <w:vAlign w:val="center"/>
            <w:hideMark/>
          </w:tcPr>
          <w:p w14:paraId="199E372E" w14:textId="77777777" w:rsidR="004727D3" w:rsidRPr="004727D3" w:rsidRDefault="004727D3" w:rsidP="004727D3">
            <w:pPr>
              <w:rPr>
                <w:rFonts w:ascii="Calibri" w:hAnsi="Calibri" w:cs="Calibri"/>
              </w:rPr>
            </w:pPr>
            <w:r w:rsidRPr="004727D3">
              <w:t> </w:t>
            </w:r>
          </w:p>
        </w:tc>
      </w:tr>
      <w:tr w:rsidR="004727D3" w:rsidRPr="004727D3" w14:paraId="2BBB0A58" w14:textId="77777777" w:rsidTr="008C6ED7">
        <w:trPr>
          <w:trHeight w:val="300"/>
        </w:trPr>
        <w:tc>
          <w:tcPr>
            <w:tcW w:w="4140"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FFDB9F1" w14:textId="77777777" w:rsidR="004727D3" w:rsidRPr="004727D3" w:rsidRDefault="004727D3" w:rsidP="004727D3">
            <w:pPr>
              <w:rPr>
                <w:rFonts w:ascii="Calibri" w:hAnsi="Calibri" w:cs="Calibri"/>
                <w:b/>
                <w:bCs/>
                <w:color w:val="FFFFFF"/>
              </w:rPr>
            </w:pPr>
            <w:r w:rsidRPr="004727D3">
              <w:rPr>
                <w:b/>
                <w:bCs/>
                <w:color w:val="FFFFFF"/>
              </w:rPr>
              <w:t>Applications Receiving Payments</w:t>
            </w:r>
          </w:p>
        </w:tc>
        <w:tc>
          <w:tcPr>
            <w:tcW w:w="108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3D341E5" w14:textId="77777777" w:rsidR="004727D3" w:rsidRPr="004727D3" w:rsidRDefault="004727D3" w:rsidP="004727D3">
            <w:pPr>
              <w:jc w:val="right"/>
              <w:rPr>
                <w:rFonts w:ascii="Calibri" w:hAnsi="Calibri" w:cs="Calibri"/>
                <w:b/>
                <w:bCs/>
                <w:color w:val="FFFFFF"/>
              </w:rPr>
            </w:pPr>
            <w:r w:rsidRPr="004727D3">
              <w:rPr>
                <w:b/>
                <w:bCs/>
                <w:color w:val="FFFFFF"/>
              </w:rPr>
              <w:t>39</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6A93C4E2" w14:textId="77777777" w:rsidR="004727D3" w:rsidRPr="004727D3" w:rsidRDefault="004727D3" w:rsidP="004727D3">
            <w:pPr>
              <w:jc w:val="right"/>
              <w:rPr>
                <w:rFonts w:ascii="Calibri" w:hAnsi="Calibri" w:cs="Calibri"/>
                <w:b/>
                <w:bCs/>
                <w:color w:val="FFFFFF"/>
              </w:rPr>
            </w:pPr>
            <w:r w:rsidRPr="004727D3">
              <w:rPr>
                <w:b/>
                <w:bCs/>
                <w:color w:val="FFFFFF"/>
              </w:rPr>
              <w:t>62</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1F4F203" w14:textId="77777777" w:rsidR="004727D3" w:rsidRPr="004727D3" w:rsidRDefault="004727D3" w:rsidP="004727D3">
            <w:pPr>
              <w:jc w:val="right"/>
              <w:rPr>
                <w:rFonts w:ascii="Calibri" w:hAnsi="Calibri" w:cs="Calibri"/>
                <w:b/>
                <w:bCs/>
                <w:color w:val="FFFFFF"/>
              </w:rPr>
            </w:pPr>
            <w:r w:rsidRPr="004727D3">
              <w:rPr>
                <w:b/>
                <w:bCs/>
                <w:color w:val="FFFFFF"/>
              </w:rPr>
              <w:t>90</w:t>
            </w:r>
          </w:p>
        </w:tc>
        <w:tc>
          <w:tcPr>
            <w:tcW w:w="900"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6CF523BF" w14:textId="77777777" w:rsidR="004727D3" w:rsidRPr="004727D3" w:rsidRDefault="004727D3" w:rsidP="004727D3">
            <w:pPr>
              <w:jc w:val="right"/>
              <w:rPr>
                <w:rFonts w:ascii="Calibri" w:hAnsi="Calibri" w:cs="Calibri"/>
                <w:b/>
                <w:bCs/>
                <w:color w:val="FFFFFF"/>
              </w:rPr>
            </w:pPr>
            <w:r w:rsidRPr="004727D3">
              <w:rPr>
                <w:b/>
                <w:bCs/>
                <w:color w:val="FFFFFF"/>
              </w:rPr>
              <w:t>58</w:t>
            </w:r>
          </w:p>
        </w:tc>
        <w:tc>
          <w:tcPr>
            <w:tcW w:w="960" w:type="dxa"/>
            <w:gridSpan w:val="2"/>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3693B3E" w14:textId="77777777" w:rsidR="004727D3" w:rsidRPr="004727D3" w:rsidRDefault="004727D3" w:rsidP="004727D3">
            <w:pPr>
              <w:jc w:val="right"/>
              <w:rPr>
                <w:rFonts w:ascii="Calibri" w:hAnsi="Calibri" w:cs="Calibri"/>
                <w:b/>
                <w:bCs/>
                <w:color w:val="FFFFFF"/>
              </w:rPr>
            </w:pPr>
            <w:r w:rsidRPr="004727D3">
              <w:rPr>
                <w:b/>
                <w:bCs/>
                <w:color w:val="FFFFFF"/>
              </w:rPr>
              <w:t>73</w:t>
            </w:r>
          </w:p>
        </w:tc>
        <w:tc>
          <w:tcPr>
            <w:tcW w:w="90" w:type="dxa"/>
            <w:vAlign w:val="center"/>
            <w:hideMark/>
          </w:tcPr>
          <w:p w14:paraId="47127FBB" w14:textId="77777777" w:rsidR="004727D3" w:rsidRPr="004727D3" w:rsidRDefault="004727D3" w:rsidP="004727D3">
            <w:pPr>
              <w:rPr>
                <w:rFonts w:ascii="Calibri" w:hAnsi="Calibri" w:cs="Calibri"/>
              </w:rPr>
            </w:pPr>
            <w:r w:rsidRPr="004727D3">
              <w:t> </w:t>
            </w:r>
          </w:p>
        </w:tc>
      </w:tr>
    </w:tbl>
    <w:p w14:paraId="21627868" w14:textId="77777777" w:rsidR="007A2BEE" w:rsidRDefault="007A2BEE" w:rsidP="002218E4">
      <w:pPr>
        <w:spacing w:after="0" w:line="240" w:lineRule="auto"/>
        <w:ind w:left="360"/>
        <w:rPr>
          <w:rFonts w:asciiTheme="majorHAnsi" w:eastAsia="Times New Roman" w:hAnsiTheme="majorHAnsi" w:cs="Times New Roman"/>
          <w:sz w:val="24"/>
          <w:szCs w:val="24"/>
        </w:rPr>
      </w:pPr>
    </w:p>
    <w:p w14:paraId="76A68117" w14:textId="1F50086F" w:rsidR="002218E4" w:rsidRDefault="002218E4" w:rsidP="00C34E66">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To create </w:t>
      </w:r>
      <w:r w:rsidR="00CA6682">
        <w:rPr>
          <w:rFonts w:asciiTheme="majorHAnsi" w:eastAsia="Times New Roman" w:hAnsiTheme="majorHAnsi" w:cs="Times New Roman"/>
          <w:sz w:val="24"/>
          <w:szCs w:val="24"/>
        </w:rPr>
        <w:t xml:space="preserve">a </w:t>
      </w:r>
      <w:r>
        <w:rPr>
          <w:rFonts w:asciiTheme="majorHAnsi" w:eastAsia="Times New Roman" w:hAnsiTheme="majorHAnsi" w:cs="Times New Roman"/>
          <w:sz w:val="24"/>
          <w:szCs w:val="24"/>
        </w:rPr>
        <w:t>point of reference the fund current</w:t>
      </w:r>
      <w:r w:rsidR="004727D3">
        <w:rPr>
          <w:rFonts w:asciiTheme="majorHAnsi" w:eastAsia="Times New Roman" w:hAnsiTheme="majorHAnsi" w:cs="Times New Roman"/>
          <w:sz w:val="24"/>
          <w:szCs w:val="24"/>
        </w:rPr>
        <w:t>ly</w:t>
      </w:r>
      <w:r>
        <w:rPr>
          <w:rFonts w:asciiTheme="majorHAnsi" w:eastAsia="Times New Roman" w:hAnsiTheme="majorHAnsi" w:cs="Times New Roman"/>
          <w:sz w:val="24"/>
          <w:szCs w:val="24"/>
        </w:rPr>
        <w:t xml:space="preserve"> assists more than 40,000 crime victims a year.</w:t>
      </w:r>
      <w:r w:rsidR="00CA6682">
        <w:rPr>
          <w:rStyle w:val="FootnoteReference"/>
          <w:rFonts w:asciiTheme="majorHAnsi" w:eastAsia="Times New Roman" w:hAnsiTheme="majorHAnsi" w:cs="Times New Roman"/>
          <w:sz w:val="24"/>
          <w:szCs w:val="24"/>
        </w:rPr>
        <w:footnoteReference w:id="7"/>
      </w:r>
      <w:r>
        <w:rPr>
          <w:rFonts w:asciiTheme="majorHAnsi" w:eastAsia="Times New Roman" w:hAnsiTheme="majorHAnsi" w:cs="Times New Roman"/>
          <w:sz w:val="24"/>
          <w:szCs w:val="24"/>
        </w:rPr>
        <w:t xml:space="preserve"> Further data indicates not only that less than 200</w:t>
      </w:r>
      <w:r w:rsidR="0092598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trafficking victims</w:t>
      </w:r>
      <w:r w:rsidR="00723BE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applica</w:t>
      </w:r>
      <w:r w:rsidR="00925988">
        <w:rPr>
          <w:rFonts w:asciiTheme="majorHAnsi" w:eastAsia="Times New Roman" w:hAnsiTheme="majorHAnsi" w:cs="Times New Roman"/>
          <w:sz w:val="24"/>
          <w:szCs w:val="24"/>
        </w:rPr>
        <w:t xml:space="preserve">tions </w:t>
      </w:r>
      <w:r>
        <w:rPr>
          <w:rFonts w:asciiTheme="majorHAnsi" w:eastAsia="Times New Roman" w:hAnsiTheme="majorHAnsi" w:cs="Times New Roman"/>
          <w:sz w:val="24"/>
          <w:szCs w:val="24"/>
        </w:rPr>
        <w:t xml:space="preserve">to the fund get </w:t>
      </w:r>
      <w:r w:rsidR="004727D3">
        <w:rPr>
          <w:rFonts w:asciiTheme="majorHAnsi" w:eastAsia="Times New Roman" w:hAnsiTheme="majorHAnsi" w:cs="Times New Roman"/>
          <w:sz w:val="24"/>
          <w:szCs w:val="24"/>
        </w:rPr>
        <w:t xml:space="preserve">approved in </w:t>
      </w:r>
      <w:r w:rsidR="00723BEA">
        <w:rPr>
          <w:rFonts w:asciiTheme="majorHAnsi" w:eastAsia="Times New Roman" w:hAnsiTheme="majorHAnsi" w:cs="Times New Roman"/>
          <w:sz w:val="24"/>
          <w:szCs w:val="24"/>
        </w:rPr>
        <w:t xml:space="preserve">a year, </w:t>
      </w:r>
      <w:r>
        <w:rPr>
          <w:rFonts w:asciiTheme="majorHAnsi" w:eastAsia="Times New Roman" w:hAnsiTheme="majorHAnsi" w:cs="Times New Roman"/>
          <w:sz w:val="24"/>
          <w:szCs w:val="24"/>
        </w:rPr>
        <w:t>but less than 100 actually receive any sort of pay out.</w:t>
      </w:r>
    </w:p>
    <w:p w14:paraId="3E330401" w14:textId="77777777" w:rsidR="00011613" w:rsidRDefault="00011613" w:rsidP="002218E4">
      <w:pPr>
        <w:spacing w:after="0" w:line="240" w:lineRule="auto"/>
        <w:ind w:left="360"/>
        <w:rPr>
          <w:rFonts w:asciiTheme="majorHAnsi" w:eastAsia="Times New Roman" w:hAnsiTheme="majorHAnsi" w:cs="Times New Roman"/>
          <w:sz w:val="24"/>
          <w:szCs w:val="24"/>
        </w:rPr>
      </w:pPr>
    </w:p>
    <w:p w14:paraId="67AC066A" w14:textId="13735B75" w:rsidR="004727D3" w:rsidRDefault="00011613" w:rsidP="00723BE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Therefore</w:t>
      </w:r>
      <w:r w:rsidR="00663427">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the total payout if each victim received the full </w:t>
      </w:r>
      <w:r w:rsidR="0092598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10,000 for 1 year of enslavement of those who applied would be </w:t>
      </w:r>
      <w:r w:rsidR="004727D3">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1.6 million with the federal government </w:t>
      </w:r>
      <w:r w:rsidR="004727D3">
        <w:rPr>
          <w:rFonts w:asciiTheme="majorHAnsi" w:eastAsia="Times New Roman" w:hAnsiTheme="majorHAnsi" w:cs="Times New Roman"/>
          <w:sz w:val="24"/>
          <w:szCs w:val="24"/>
        </w:rPr>
        <w:t>reimbursing</w:t>
      </w:r>
      <w:r>
        <w:rPr>
          <w:rFonts w:asciiTheme="majorHAnsi" w:eastAsia="Times New Roman" w:hAnsiTheme="majorHAnsi" w:cs="Times New Roman"/>
          <w:sz w:val="24"/>
          <w:szCs w:val="24"/>
        </w:rPr>
        <w:t xml:space="preserve"> for </w:t>
      </w:r>
      <w:r w:rsidR="004727D3">
        <w:rPr>
          <w:rFonts w:asciiTheme="majorHAnsi" w:eastAsia="Times New Roman" w:hAnsiTheme="majorHAnsi" w:cs="Times New Roman"/>
          <w:sz w:val="24"/>
          <w:szCs w:val="24"/>
        </w:rPr>
        <w:t>$</w:t>
      </w:r>
      <w:r>
        <w:rPr>
          <w:rFonts w:asciiTheme="majorHAnsi" w:eastAsia="Times New Roman" w:hAnsiTheme="majorHAnsi" w:cs="Times New Roman"/>
          <w:sz w:val="24"/>
          <w:szCs w:val="24"/>
        </w:rPr>
        <w:t>960,000</w:t>
      </w:r>
      <w:r w:rsidR="004727D3">
        <w:rPr>
          <w:rFonts w:asciiTheme="majorHAnsi" w:eastAsia="Times New Roman" w:hAnsiTheme="majorHAnsi" w:cs="Times New Roman"/>
          <w:sz w:val="24"/>
          <w:szCs w:val="24"/>
        </w:rPr>
        <w:t xml:space="preserve"> (60%)</w:t>
      </w:r>
      <w:r w:rsidR="00663427">
        <w:rPr>
          <w:rFonts w:asciiTheme="majorHAnsi" w:eastAsia="Times New Roman" w:hAnsiTheme="majorHAnsi" w:cs="Times New Roman"/>
          <w:sz w:val="24"/>
          <w:szCs w:val="24"/>
        </w:rPr>
        <w:t>, for</w:t>
      </w:r>
      <w:r>
        <w:rPr>
          <w:rFonts w:asciiTheme="majorHAnsi" w:eastAsia="Times New Roman" w:hAnsiTheme="majorHAnsi" w:cs="Times New Roman"/>
          <w:sz w:val="24"/>
          <w:szCs w:val="24"/>
        </w:rPr>
        <w:t xml:space="preserve"> a total of</w:t>
      </w:r>
      <w:r w:rsidR="004727D3">
        <w:rPr>
          <w:rFonts w:asciiTheme="majorHAnsi" w:eastAsia="Times New Roman" w:hAnsiTheme="majorHAnsi" w:cs="Times New Roman"/>
          <w:sz w:val="24"/>
          <w:szCs w:val="24"/>
        </w:rPr>
        <w:t xml:space="preserve"> $</w:t>
      </w:r>
      <w:r w:rsidRPr="004727D3">
        <w:rPr>
          <w:rFonts w:asciiTheme="majorHAnsi" w:eastAsia="Times New Roman" w:hAnsiTheme="majorHAnsi" w:cs="Times New Roman"/>
          <w:b/>
          <w:sz w:val="24"/>
          <w:szCs w:val="24"/>
          <w:u w:val="single"/>
        </w:rPr>
        <w:t>640,000</w:t>
      </w:r>
      <w:r>
        <w:rPr>
          <w:rFonts w:asciiTheme="majorHAnsi" w:eastAsia="Times New Roman" w:hAnsiTheme="majorHAnsi" w:cs="Times New Roman"/>
          <w:sz w:val="24"/>
          <w:szCs w:val="24"/>
        </w:rPr>
        <w:t xml:space="preserve"> from the California Restitution fund annually. </w:t>
      </w:r>
    </w:p>
    <w:p w14:paraId="1C0A8650" w14:textId="77777777" w:rsidR="004727D3" w:rsidRDefault="004727D3" w:rsidP="002218E4">
      <w:pPr>
        <w:spacing w:after="0" w:line="240" w:lineRule="auto"/>
        <w:ind w:left="360"/>
        <w:rPr>
          <w:rFonts w:asciiTheme="majorHAnsi" w:eastAsia="Times New Roman" w:hAnsiTheme="majorHAnsi" w:cs="Times New Roman"/>
          <w:sz w:val="24"/>
          <w:szCs w:val="24"/>
        </w:rPr>
      </w:pPr>
    </w:p>
    <w:p w14:paraId="462D7B9F" w14:textId="55C2A0CF" w:rsidR="00011613" w:rsidRDefault="00011613" w:rsidP="00723BE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More reali</w:t>
      </w:r>
      <w:r w:rsidR="004727D3">
        <w:rPr>
          <w:rFonts w:asciiTheme="majorHAnsi" w:eastAsia="Times New Roman" w:hAnsiTheme="majorHAnsi" w:cs="Times New Roman"/>
          <w:sz w:val="24"/>
          <w:szCs w:val="24"/>
        </w:rPr>
        <w:t>stically</w:t>
      </w:r>
      <w:r w:rsidR="00663427">
        <w:rPr>
          <w:rFonts w:asciiTheme="majorHAnsi" w:eastAsia="Times New Roman" w:hAnsiTheme="majorHAnsi" w:cs="Times New Roman"/>
          <w:sz w:val="24"/>
          <w:szCs w:val="24"/>
        </w:rPr>
        <w:t>,</w:t>
      </w:r>
      <w:r w:rsidR="004727D3">
        <w:rPr>
          <w:rFonts w:asciiTheme="majorHAnsi" w:eastAsia="Times New Roman" w:hAnsiTheme="majorHAnsi" w:cs="Times New Roman"/>
          <w:sz w:val="24"/>
          <w:szCs w:val="24"/>
        </w:rPr>
        <w:t xml:space="preserve"> less than half of human trafficking victims</w:t>
      </w:r>
      <w:r>
        <w:rPr>
          <w:rFonts w:asciiTheme="majorHAnsi" w:eastAsia="Times New Roman" w:hAnsiTheme="majorHAnsi" w:cs="Times New Roman"/>
          <w:sz w:val="24"/>
          <w:szCs w:val="24"/>
        </w:rPr>
        <w:t xml:space="preserve"> who applied </w:t>
      </w:r>
      <w:r w:rsidR="004727D3">
        <w:rPr>
          <w:rFonts w:asciiTheme="majorHAnsi" w:eastAsia="Times New Roman" w:hAnsiTheme="majorHAnsi" w:cs="Times New Roman"/>
          <w:sz w:val="24"/>
          <w:szCs w:val="24"/>
        </w:rPr>
        <w:t xml:space="preserve">and were approved </w:t>
      </w:r>
      <w:r>
        <w:rPr>
          <w:rFonts w:asciiTheme="majorHAnsi" w:eastAsia="Times New Roman" w:hAnsiTheme="majorHAnsi" w:cs="Times New Roman"/>
          <w:sz w:val="24"/>
          <w:szCs w:val="24"/>
        </w:rPr>
        <w:t xml:space="preserve">received </w:t>
      </w:r>
      <w:r w:rsidR="00663427">
        <w:rPr>
          <w:rFonts w:asciiTheme="majorHAnsi" w:eastAsia="Times New Roman" w:hAnsiTheme="majorHAnsi" w:cs="Times New Roman"/>
          <w:sz w:val="24"/>
          <w:szCs w:val="24"/>
        </w:rPr>
        <w:t xml:space="preserve">a </w:t>
      </w:r>
      <w:r>
        <w:rPr>
          <w:rFonts w:asciiTheme="majorHAnsi" w:eastAsia="Times New Roman" w:hAnsiTheme="majorHAnsi" w:cs="Times New Roman"/>
          <w:sz w:val="24"/>
          <w:szCs w:val="24"/>
        </w:rPr>
        <w:t xml:space="preserve">pay out so </w:t>
      </w:r>
      <w:r w:rsidR="004727D3">
        <w:rPr>
          <w:rFonts w:asciiTheme="majorHAnsi" w:eastAsia="Times New Roman" w:hAnsiTheme="majorHAnsi" w:cs="Times New Roman"/>
          <w:sz w:val="24"/>
          <w:szCs w:val="24"/>
        </w:rPr>
        <w:t>the actual number that might be paid out by the fund annually looking at the claimant r</w:t>
      </w:r>
      <w:r w:rsidR="00925988">
        <w:rPr>
          <w:rFonts w:asciiTheme="majorHAnsi" w:eastAsia="Times New Roman" w:hAnsiTheme="majorHAnsi" w:cs="Times New Roman"/>
          <w:sz w:val="24"/>
          <w:szCs w:val="24"/>
        </w:rPr>
        <w:t>ate over the last five years is</w:t>
      </w:r>
      <w:r w:rsidR="004727D3">
        <w:rPr>
          <w:rFonts w:asciiTheme="majorHAnsi" w:eastAsia="Times New Roman" w:hAnsiTheme="majorHAnsi" w:cs="Times New Roman"/>
          <w:sz w:val="24"/>
          <w:szCs w:val="24"/>
        </w:rPr>
        <w:t xml:space="preserve"> about $</w:t>
      </w:r>
      <w:r w:rsidR="004727D3" w:rsidRPr="004727D3">
        <w:rPr>
          <w:rFonts w:asciiTheme="majorHAnsi" w:eastAsia="Times New Roman" w:hAnsiTheme="majorHAnsi" w:cs="Times New Roman"/>
          <w:b/>
          <w:sz w:val="24"/>
          <w:szCs w:val="24"/>
          <w:u w:val="single"/>
        </w:rPr>
        <w:t>256,000</w:t>
      </w:r>
      <w:r w:rsidR="004727D3">
        <w:rPr>
          <w:rFonts w:asciiTheme="majorHAnsi" w:eastAsia="Times New Roman" w:hAnsiTheme="majorHAnsi" w:cs="Times New Roman"/>
          <w:sz w:val="24"/>
          <w:szCs w:val="24"/>
        </w:rPr>
        <w:t>.</w:t>
      </w:r>
    </w:p>
    <w:p w14:paraId="1609FC27" w14:textId="77777777" w:rsidR="004727D3" w:rsidRDefault="004727D3" w:rsidP="002218E4">
      <w:pPr>
        <w:spacing w:after="0" w:line="240" w:lineRule="auto"/>
        <w:ind w:left="360"/>
        <w:rPr>
          <w:rFonts w:asciiTheme="majorHAnsi" w:eastAsia="Times New Roman" w:hAnsiTheme="majorHAnsi" w:cs="Times New Roman"/>
          <w:sz w:val="24"/>
          <w:szCs w:val="24"/>
        </w:rPr>
      </w:pPr>
    </w:p>
    <w:p w14:paraId="65AB1568" w14:textId="4B8847C2" w:rsidR="002218E4" w:rsidRPr="002218E4" w:rsidRDefault="004727D3" w:rsidP="002218E4">
      <w:pPr>
        <w:rPr>
          <w:rFonts w:asciiTheme="majorHAnsi" w:hAnsiTheme="majorHAnsi"/>
          <w:sz w:val="24"/>
          <w:szCs w:val="24"/>
        </w:rPr>
      </w:pPr>
      <w:r>
        <w:rPr>
          <w:rFonts w:asciiTheme="majorHAnsi" w:eastAsia="Times New Roman" w:hAnsiTheme="majorHAnsi" w:cs="Times New Roman"/>
          <w:sz w:val="24"/>
          <w:szCs w:val="24"/>
        </w:rPr>
        <w:t>Again</w:t>
      </w:r>
      <w:r w:rsidR="00663427">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it can be exp</w:t>
      </w:r>
      <w:r w:rsidR="00723BEA">
        <w:rPr>
          <w:rFonts w:asciiTheme="majorHAnsi" w:eastAsia="Times New Roman" w:hAnsiTheme="majorHAnsi" w:cs="Times New Roman"/>
          <w:sz w:val="24"/>
          <w:szCs w:val="24"/>
        </w:rPr>
        <w:t xml:space="preserve">ected that over the years </w:t>
      </w:r>
      <w:proofErr w:type="spellStart"/>
      <w:r w:rsidR="00723BEA">
        <w:rPr>
          <w:rFonts w:asciiTheme="majorHAnsi" w:eastAsia="Times New Roman" w:hAnsiTheme="majorHAnsi" w:cs="Times New Roman"/>
          <w:sz w:val="24"/>
          <w:szCs w:val="24"/>
        </w:rPr>
        <w:t>CalVCB</w:t>
      </w:r>
      <w:proofErr w:type="spellEnd"/>
      <w:r>
        <w:rPr>
          <w:rFonts w:asciiTheme="majorHAnsi" w:eastAsia="Times New Roman" w:hAnsiTheme="majorHAnsi" w:cs="Times New Roman"/>
          <w:sz w:val="24"/>
          <w:szCs w:val="24"/>
        </w:rPr>
        <w:t xml:space="preserve"> might see an increase of human trafficking victims applying for the fund</w:t>
      </w:r>
      <w:r>
        <w:rPr>
          <w:rStyle w:val="FootnoteReference"/>
          <w:rFonts w:asciiTheme="majorHAnsi" w:eastAsia="Times New Roman" w:hAnsiTheme="majorHAnsi" w:cs="Times New Roman"/>
          <w:sz w:val="24"/>
          <w:szCs w:val="24"/>
        </w:rPr>
        <w:footnoteReference w:id="8"/>
      </w:r>
      <w:r>
        <w:rPr>
          <w:rFonts w:asciiTheme="majorHAnsi" w:eastAsia="Times New Roman" w:hAnsiTheme="majorHAnsi" w:cs="Times New Roman"/>
          <w:sz w:val="24"/>
          <w:szCs w:val="24"/>
        </w:rPr>
        <w:t xml:space="preserve"> </w:t>
      </w:r>
      <w:r w:rsidR="00723BEA">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but given that five years of data has not shown a dramatic increase in numbers</w:t>
      </w:r>
      <w:r w:rsidR="0092598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with some years actually decreasing in applicants</w:t>
      </w:r>
      <w:r w:rsidR="0092598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it is reasonable to believe that this increase would be slow and would occur over years</w:t>
      </w:r>
      <w:r w:rsidR="00723BEA">
        <w:rPr>
          <w:rFonts w:asciiTheme="majorHAnsi" w:eastAsia="Times New Roman" w:hAnsiTheme="majorHAnsi" w:cs="Times New Roman"/>
          <w:sz w:val="24"/>
          <w:szCs w:val="24"/>
        </w:rPr>
        <w:t xml:space="preserve"> and</w:t>
      </w:r>
      <w:r>
        <w:rPr>
          <w:rFonts w:asciiTheme="majorHAnsi" w:eastAsia="Times New Roman" w:hAnsiTheme="majorHAnsi" w:cs="Times New Roman"/>
          <w:sz w:val="24"/>
          <w:szCs w:val="24"/>
        </w:rPr>
        <w:t xml:space="preserve"> that if it became an issue the legislature could </w:t>
      </w:r>
      <w:r w:rsidR="000842F9">
        <w:rPr>
          <w:rFonts w:asciiTheme="majorHAnsi" w:eastAsia="Times New Roman" w:hAnsiTheme="majorHAnsi" w:cs="Times New Roman"/>
          <w:sz w:val="24"/>
          <w:szCs w:val="24"/>
        </w:rPr>
        <w:t xml:space="preserve">easily </w:t>
      </w:r>
      <w:r>
        <w:rPr>
          <w:rFonts w:asciiTheme="majorHAnsi" w:eastAsia="Times New Roman" w:hAnsiTheme="majorHAnsi" w:cs="Times New Roman"/>
          <w:sz w:val="24"/>
          <w:szCs w:val="24"/>
        </w:rPr>
        <w:t xml:space="preserve">take steps to address </w:t>
      </w:r>
      <w:r w:rsidR="000842F9" w:rsidRPr="002218E4">
        <w:rPr>
          <w:rFonts w:asciiTheme="majorHAnsi" w:hAnsiTheme="majorHAnsi"/>
          <w:sz w:val="24"/>
          <w:szCs w:val="24"/>
        </w:rPr>
        <w:t>this issue in a timely manner—but only when actual data is available.</w:t>
      </w:r>
      <w:r w:rsidR="00663427">
        <w:rPr>
          <w:rFonts w:asciiTheme="majorHAnsi" w:hAnsiTheme="majorHAnsi"/>
          <w:sz w:val="24"/>
          <w:szCs w:val="24"/>
        </w:rPr>
        <w:t xml:space="preserve"> </w:t>
      </w:r>
      <w:r>
        <w:rPr>
          <w:rFonts w:asciiTheme="majorHAnsi" w:eastAsia="Times New Roman" w:hAnsiTheme="majorHAnsi" w:cs="Times New Roman"/>
          <w:sz w:val="24"/>
          <w:szCs w:val="24"/>
        </w:rPr>
        <w:t>This is a policy approach far more fair to crime victims.</w:t>
      </w:r>
    </w:p>
    <w:p w14:paraId="6F613016" w14:textId="77777777" w:rsidR="002218E4" w:rsidRPr="002218E4" w:rsidRDefault="002218E4" w:rsidP="002218E4">
      <w:pPr>
        <w:rPr>
          <w:rFonts w:asciiTheme="majorHAnsi" w:hAnsiTheme="majorHAnsi"/>
          <w:b/>
          <w:sz w:val="24"/>
          <w:szCs w:val="24"/>
        </w:rPr>
      </w:pPr>
      <w:r w:rsidRPr="002218E4">
        <w:rPr>
          <w:rFonts w:asciiTheme="majorHAnsi" w:hAnsiTheme="majorHAnsi"/>
          <w:b/>
          <w:sz w:val="24"/>
          <w:szCs w:val="24"/>
        </w:rPr>
        <w:t>Conclusion</w:t>
      </w:r>
    </w:p>
    <w:p w14:paraId="272A0EE2" w14:textId="15A3F1A7" w:rsidR="00FB5004" w:rsidRPr="007A2BEE" w:rsidRDefault="002218E4" w:rsidP="00D62ADC">
      <w:pPr>
        <w:rPr>
          <w:rFonts w:asciiTheme="majorHAnsi" w:hAnsiTheme="majorHAnsi"/>
          <w:sz w:val="24"/>
          <w:szCs w:val="24"/>
        </w:rPr>
      </w:pPr>
      <w:r w:rsidRPr="002218E4">
        <w:rPr>
          <w:rFonts w:asciiTheme="majorHAnsi" w:hAnsiTheme="majorHAnsi"/>
          <w:sz w:val="24"/>
          <w:szCs w:val="24"/>
        </w:rPr>
        <w:t xml:space="preserve">In conclusion, CAST and Bet Tzedek believe that AB </w:t>
      </w:r>
      <w:proofErr w:type="gramStart"/>
      <w:r w:rsidR="00663427">
        <w:rPr>
          <w:rFonts w:asciiTheme="majorHAnsi" w:hAnsiTheme="majorHAnsi"/>
          <w:sz w:val="24"/>
          <w:szCs w:val="24"/>
        </w:rPr>
        <w:t xml:space="preserve">629 </w:t>
      </w:r>
      <w:r w:rsidRPr="002218E4">
        <w:rPr>
          <w:rFonts w:asciiTheme="majorHAnsi" w:hAnsiTheme="majorHAnsi"/>
          <w:sz w:val="24"/>
          <w:szCs w:val="24"/>
        </w:rPr>
        <w:t xml:space="preserve"> proposes</w:t>
      </w:r>
      <w:proofErr w:type="gramEnd"/>
      <w:r w:rsidRPr="002218E4">
        <w:rPr>
          <w:rFonts w:asciiTheme="majorHAnsi" w:hAnsiTheme="majorHAnsi"/>
          <w:sz w:val="24"/>
          <w:szCs w:val="24"/>
        </w:rPr>
        <w:t xml:space="preserve"> a modest change in existing law to allow victims of human trafficking </w:t>
      </w:r>
      <w:r w:rsidR="00663427">
        <w:rPr>
          <w:rFonts w:asciiTheme="majorHAnsi" w:hAnsiTheme="majorHAnsi"/>
          <w:sz w:val="24"/>
          <w:szCs w:val="24"/>
        </w:rPr>
        <w:t xml:space="preserve">fairer </w:t>
      </w:r>
      <w:r w:rsidRPr="002218E4">
        <w:rPr>
          <w:rFonts w:asciiTheme="majorHAnsi" w:hAnsiTheme="majorHAnsi"/>
          <w:sz w:val="24"/>
          <w:szCs w:val="24"/>
        </w:rPr>
        <w:t xml:space="preserve"> access to </w:t>
      </w:r>
      <w:proofErr w:type="spellStart"/>
      <w:r w:rsidRPr="002218E4">
        <w:rPr>
          <w:rFonts w:asciiTheme="majorHAnsi" w:hAnsiTheme="majorHAnsi"/>
          <w:sz w:val="24"/>
          <w:szCs w:val="24"/>
        </w:rPr>
        <w:t>CalVCB</w:t>
      </w:r>
      <w:proofErr w:type="spellEnd"/>
      <w:r w:rsidRPr="002218E4">
        <w:rPr>
          <w:rFonts w:asciiTheme="majorHAnsi" w:hAnsiTheme="majorHAnsi"/>
          <w:sz w:val="24"/>
          <w:szCs w:val="24"/>
        </w:rPr>
        <w:t xml:space="preserve"> funds to which they should be entitled. </w:t>
      </w:r>
      <w:bookmarkEnd w:id="0"/>
    </w:p>
    <w:sectPr w:rsidR="00FB5004" w:rsidRPr="007A2B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542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54218" w16cid:durableId="204382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2660" w14:textId="77777777" w:rsidR="004D56D1" w:rsidRDefault="004D56D1" w:rsidP="00FB5004">
      <w:pPr>
        <w:spacing w:after="0" w:line="240" w:lineRule="auto"/>
      </w:pPr>
      <w:r>
        <w:separator/>
      </w:r>
    </w:p>
  </w:endnote>
  <w:endnote w:type="continuationSeparator" w:id="0">
    <w:p w14:paraId="26A9FB2B" w14:textId="77777777" w:rsidR="004D56D1" w:rsidRDefault="004D56D1" w:rsidP="00FB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F4CC" w14:textId="77777777" w:rsidR="00EC6595" w:rsidRDefault="00EC6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D44F" w14:textId="77777777" w:rsidR="00EC6595" w:rsidRDefault="00EC6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03B3" w14:textId="77777777" w:rsidR="00EC6595" w:rsidRDefault="00EC6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924D" w14:textId="77777777" w:rsidR="004D56D1" w:rsidRDefault="004D56D1" w:rsidP="00FB5004">
      <w:pPr>
        <w:spacing w:after="0" w:line="240" w:lineRule="auto"/>
      </w:pPr>
      <w:r>
        <w:separator/>
      </w:r>
    </w:p>
  </w:footnote>
  <w:footnote w:type="continuationSeparator" w:id="0">
    <w:p w14:paraId="5B7F3E2E" w14:textId="77777777" w:rsidR="004D56D1" w:rsidRDefault="004D56D1" w:rsidP="00FB5004">
      <w:pPr>
        <w:spacing w:after="0" w:line="240" w:lineRule="auto"/>
      </w:pPr>
      <w:r>
        <w:continuationSeparator/>
      </w:r>
    </w:p>
  </w:footnote>
  <w:footnote w:id="1">
    <w:p w14:paraId="1E5A3169" w14:textId="3DF757D4" w:rsidR="00723BEA" w:rsidRDefault="00723BEA">
      <w:pPr>
        <w:pStyle w:val="FootnoteText"/>
        <w:rPr>
          <w:rFonts w:ascii="Calibri" w:hAnsi="Calibri" w:cs="Calibri"/>
          <w:szCs w:val="22"/>
        </w:rPr>
      </w:pPr>
      <w:r>
        <w:rPr>
          <w:rStyle w:val="FootnoteReference"/>
        </w:rPr>
        <w:footnoteRef/>
      </w:r>
      <w:r>
        <w:t xml:space="preserve"> </w:t>
      </w:r>
      <w:r w:rsidRPr="008E2A9E">
        <w:rPr>
          <w:rFonts w:ascii="Calibri" w:hAnsi="Calibri" w:cs="Calibri"/>
          <w:szCs w:val="22"/>
        </w:rPr>
        <w:t xml:space="preserve">The </w:t>
      </w:r>
      <w:proofErr w:type="spellStart"/>
      <w:r>
        <w:rPr>
          <w:rFonts w:ascii="Calibri" w:hAnsi="Calibri" w:cs="Calibri"/>
          <w:szCs w:val="22"/>
        </w:rPr>
        <w:t>CalVCB</w:t>
      </w:r>
      <w:proofErr w:type="spellEnd"/>
      <w:r>
        <w:rPr>
          <w:rFonts w:ascii="Calibri" w:hAnsi="Calibri" w:cs="Calibri"/>
          <w:szCs w:val="22"/>
        </w:rPr>
        <w:t xml:space="preserve"> is intended to “</w:t>
      </w:r>
      <w:proofErr w:type="spellStart"/>
      <w:r w:rsidRPr="008E2A9E">
        <w:rPr>
          <w:rFonts w:ascii="Calibri" w:hAnsi="Calibri" w:cs="Calibri"/>
          <w:szCs w:val="22"/>
        </w:rPr>
        <w:t>compensat</w:t>
      </w:r>
      <w:proofErr w:type="spellEnd"/>
      <w:r w:rsidRPr="008E2A9E">
        <w:rPr>
          <w:rFonts w:ascii="Calibri" w:hAnsi="Calibri" w:cs="Calibri"/>
          <w:szCs w:val="22"/>
        </w:rPr>
        <w:t xml:space="preserve">[e] for the pecuniary losses [victims] suffer as a </w:t>
      </w:r>
      <w:r>
        <w:rPr>
          <w:rFonts w:ascii="Calibri" w:hAnsi="Calibri" w:cs="Calibri"/>
          <w:szCs w:val="22"/>
        </w:rPr>
        <w:t>direct result of criminal acts.”</w:t>
      </w:r>
      <w:r w:rsidRPr="008E2A9E">
        <w:rPr>
          <w:rFonts w:ascii="Calibri" w:hAnsi="Calibri" w:cs="Calibri"/>
          <w:szCs w:val="22"/>
        </w:rPr>
        <w:t xml:space="preserve"> Gov. Code § 13950(a).  More speci</w:t>
      </w:r>
      <w:r>
        <w:rPr>
          <w:rFonts w:ascii="Calibri" w:hAnsi="Calibri" w:cs="Calibri"/>
          <w:szCs w:val="22"/>
        </w:rPr>
        <w:t>fically, the Board compensates “</w:t>
      </w:r>
      <w:r w:rsidRPr="008E2A9E">
        <w:rPr>
          <w:rFonts w:ascii="Calibri" w:hAnsi="Calibri" w:cs="Calibri"/>
          <w:szCs w:val="22"/>
        </w:rPr>
        <w:t>the loss of income or loss of support, or both, that a victim or derivative victim incurs as a direct result of the victim’s or derivative victim’</w:t>
      </w:r>
      <w:r>
        <w:rPr>
          <w:rFonts w:ascii="Calibri" w:hAnsi="Calibri" w:cs="Calibri"/>
          <w:szCs w:val="22"/>
        </w:rPr>
        <w:t>s injury or the victim’s death.”</w:t>
      </w:r>
      <w:r w:rsidRPr="008E2A9E">
        <w:rPr>
          <w:rFonts w:ascii="Calibri" w:hAnsi="Calibri" w:cs="Calibri"/>
          <w:szCs w:val="22"/>
        </w:rPr>
        <w:t xml:space="preserve"> Gov. Code § 13950(a)(3).  Victims of human trafficking are injured by being forced into labor </w:t>
      </w:r>
      <w:r>
        <w:rPr>
          <w:rFonts w:ascii="Calibri" w:hAnsi="Calibri" w:cs="Calibri"/>
          <w:szCs w:val="22"/>
        </w:rPr>
        <w:t xml:space="preserve">or sexual services </w:t>
      </w:r>
      <w:r w:rsidRPr="008E2A9E">
        <w:rPr>
          <w:rFonts w:ascii="Calibri" w:hAnsi="Calibri" w:cs="Calibri"/>
          <w:szCs w:val="22"/>
        </w:rPr>
        <w:t xml:space="preserve">for little or no compensation by their </w:t>
      </w:r>
      <w:r>
        <w:rPr>
          <w:rFonts w:ascii="Calibri" w:hAnsi="Calibri" w:cs="Calibri"/>
          <w:szCs w:val="22"/>
        </w:rPr>
        <w:t>traffickers</w:t>
      </w:r>
      <w:r w:rsidRPr="008E2A9E">
        <w:rPr>
          <w:rFonts w:ascii="Calibri" w:hAnsi="Calibri" w:cs="Calibri"/>
          <w:szCs w:val="22"/>
        </w:rPr>
        <w:t xml:space="preserve">.  The income loss in these cases is the direct </w:t>
      </w:r>
      <w:r>
        <w:rPr>
          <w:rFonts w:ascii="Calibri" w:hAnsi="Calibri" w:cs="Calibri"/>
          <w:szCs w:val="22"/>
        </w:rPr>
        <w:t xml:space="preserve">result </w:t>
      </w:r>
      <w:r w:rsidRPr="008E2A9E">
        <w:rPr>
          <w:rFonts w:ascii="Calibri" w:hAnsi="Calibri" w:cs="Calibri"/>
          <w:szCs w:val="22"/>
        </w:rPr>
        <w:t>of the crime</w:t>
      </w:r>
      <w:r>
        <w:rPr>
          <w:rFonts w:ascii="Calibri" w:hAnsi="Calibri" w:cs="Calibri"/>
          <w:szCs w:val="22"/>
        </w:rPr>
        <w:t xml:space="preserve">, which is at its core about economic exploitation, </w:t>
      </w:r>
      <w:r w:rsidRPr="008E2A9E">
        <w:rPr>
          <w:rFonts w:ascii="Calibri" w:hAnsi="Calibri" w:cs="Calibri"/>
          <w:szCs w:val="22"/>
        </w:rPr>
        <w:t>and is consistent with the legislative inte</w:t>
      </w:r>
      <w:r>
        <w:rPr>
          <w:rFonts w:ascii="Calibri" w:hAnsi="Calibri" w:cs="Calibri"/>
          <w:szCs w:val="22"/>
        </w:rPr>
        <w:t xml:space="preserve">nt behind </w:t>
      </w:r>
      <w:proofErr w:type="spellStart"/>
      <w:r>
        <w:rPr>
          <w:rFonts w:ascii="Calibri" w:hAnsi="Calibri" w:cs="Calibri"/>
          <w:szCs w:val="22"/>
        </w:rPr>
        <w:t>CalVCB</w:t>
      </w:r>
      <w:proofErr w:type="spellEnd"/>
      <w:r>
        <w:rPr>
          <w:rFonts w:ascii="Calibri" w:hAnsi="Calibri" w:cs="Calibri"/>
          <w:szCs w:val="22"/>
        </w:rPr>
        <w:t xml:space="preserve"> compensation.</w:t>
      </w:r>
    </w:p>
    <w:p w14:paraId="54F1325C" w14:textId="77777777" w:rsidR="00723BEA" w:rsidRDefault="00723BEA">
      <w:pPr>
        <w:pStyle w:val="FootnoteText"/>
      </w:pPr>
    </w:p>
  </w:footnote>
  <w:footnote w:id="2">
    <w:p w14:paraId="4193F73C" w14:textId="150388CD" w:rsidR="00F4647C" w:rsidRDefault="00F4647C">
      <w:pPr>
        <w:pStyle w:val="FootnoteText"/>
      </w:pPr>
      <w:r>
        <w:rPr>
          <w:rStyle w:val="FootnoteReference"/>
        </w:rPr>
        <w:footnoteRef/>
      </w:r>
      <w:r>
        <w:t xml:space="preserve"> California Victim Compensation Board Annual </w:t>
      </w:r>
      <w:proofErr w:type="gramStart"/>
      <w:r>
        <w:t>Report ,</w:t>
      </w:r>
      <w:proofErr w:type="gramEnd"/>
      <w:r>
        <w:t xml:space="preserve"> Fiscal Year 2017-2018. Available at:</w:t>
      </w:r>
      <w:r w:rsidRPr="00F4647C">
        <w:t xml:space="preserve"> </w:t>
      </w:r>
      <w:hyperlink r:id="rId1" w:history="1">
        <w:r w:rsidRPr="004934F5">
          <w:rPr>
            <w:rStyle w:val="Hyperlink"/>
          </w:rPr>
          <w:t>https://victims.ca.gov/docs/reports/AnnualReport-FY-17-18.pdf</w:t>
        </w:r>
      </w:hyperlink>
    </w:p>
    <w:p w14:paraId="7F679092" w14:textId="77777777" w:rsidR="00F4647C" w:rsidRDefault="00F4647C">
      <w:pPr>
        <w:pStyle w:val="FootnoteText"/>
      </w:pPr>
    </w:p>
  </w:footnote>
  <w:footnote w:id="3">
    <w:p w14:paraId="11297BDE" w14:textId="59674F4C" w:rsidR="00925988" w:rsidRDefault="00925988" w:rsidP="00925988">
      <w:r>
        <w:rPr>
          <w:rStyle w:val="FootnoteReference"/>
        </w:rPr>
        <w:footnoteRef/>
      </w:r>
      <w:r>
        <w:t xml:space="preserve"> </w:t>
      </w:r>
      <w:r w:rsidRPr="00973395">
        <w:rPr>
          <w:sz w:val="20"/>
          <w:szCs w:val="20"/>
        </w:rPr>
        <w:t xml:space="preserve">In fiscal year 2017-2018, </w:t>
      </w:r>
      <w:proofErr w:type="spellStart"/>
      <w:r w:rsidRPr="00973395">
        <w:rPr>
          <w:sz w:val="20"/>
          <w:szCs w:val="20"/>
        </w:rPr>
        <w:t>CalVCB’s</w:t>
      </w:r>
      <w:proofErr w:type="spellEnd"/>
      <w:r w:rsidRPr="00973395">
        <w:rPr>
          <w:sz w:val="20"/>
          <w:szCs w:val="20"/>
        </w:rPr>
        <w:t xml:space="preserve"> Restitution</w:t>
      </w:r>
      <w:r w:rsidR="000842F9" w:rsidRPr="00973395">
        <w:rPr>
          <w:sz w:val="20"/>
          <w:szCs w:val="20"/>
        </w:rPr>
        <w:t> Recovery</w:t>
      </w:r>
      <w:r w:rsidR="00723BEA" w:rsidRPr="00973395">
        <w:rPr>
          <w:sz w:val="20"/>
          <w:szCs w:val="20"/>
        </w:rPr>
        <w:t xml:space="preserve"> </w:t>
      </w:r>
      <w:r w:rsidRPr="00973395">
        <w:rPr>
          <w:sz w:val="20"/>
          <w:szCs w:val="20"/>
        </w:rPr>
        <w:t>Program collected almost $65 million in funds: $784,153 from third party recovery sources, $311,964 from probate estates, $61 million from fine</w:t>
      </w:r>
      <w:r w:rsidR="000842F9" w:rsidRPr="00973395">
        <w:rPr>
          <w:sz w:val="20"/>
          <w:szCs w:val="20"/>
        </w:rPr>
        <w:t xml:space="preserve">s and orders collected by </w:t>
      </w:r>
      <w:r w:rsidRPr="00973395">
        <w:rPr>
          <w:sz w:val="20"/>
          <w:szCs w:val="20"/>
        </w:rPr>
        <w:t>county partners and</w:t>
      </w:r>
      <w:r w:rsidR="000842F9" w:rsidRPr="00973395">
        <w:rPr>
          <w:sz w:val="20"/>
          <w:szCs w:val="20"/>
        </w:rPr>
        <w:t xml:space="preserve"> the California Department of</w:t>
      </w:r>
      <w:proofErr w:type="gramStart"/>
      <w:r w:rsidR="000842F9" w:rsidRPr="00973395">
        <w:rPr>
          <w:sz w:val="20"/>
          <w:szCs w:val="20"/>
        </w:rPr>
        <w:t>  </w:t>
      </w:r>
      <w:r w:rsidRPr="00973395">
        <w:rPr>
          <w:sz w:val="20"/>
          <w:szCs w:val="20"/>
        </w:rPr>
        <w:t>Corrections</w:t>
      </w:r>
      <w:proofErr w:type="gramEnd"/>
      <w:r w:rsidRPr="00973395">
        <w:rPr>
          <w:sz w:val="20"/>
          <w:szCs w:val="20"/>
        </w:rPr>
        <w:t xml:space="preserve"> and Rehabilitation and,  $2.9 million from fines and orders collected   through the Franchise Tax Board. The report further notes that $57,272,739 was paid in victim claims from the fund, with about 11 million being for lost income.  This means that there was an</w:t>
      </w:r>
      <w:r w:rsidR="000842F9" w:rsidRPr="00973395">
        <w:rPr>
          <w:sz w:val="20"/>
          <w:szCs w:val="20"/>
        </w:rPr>
        <w:t xml:space="preserve"> </w:t>
      </w:r>
      <w:r w:rsidRPr="00973395">
        <w:rPr>
          <w:sz w:val="20"/>
          <w:szCs w:val="20"/>
        </w:rPr>
        <w:t xml:space="preserve">excess of almost 8 million in the fund in 2018. Therefore it is </w:t>
      </w:r>
      <w:r w:rsidR="00723BEA" w:rsidRPr="00973395">
        <w:rPr>
          <w:sz w:val="20"/>
          <w:szCs w:val="20"/>
        </w:rPr>
        <w:t xml:space="preserve">hard to see </w:t>
      </w:r>
      <w:proofErr w:type="gramStart"/>
      <w:r w:rsidR="00723BEA" w:rsidRPr="00973395">
        <w:rPr>
          <w:sz w:val="20"/>
          <w:szCs w:val="20"/>
        </w:rPr>
        <w:t xml:space="preserve">how </w:t>
      </w:r>
      <w:r w:rsidRPr="00973395">
        <w:rPr>
          <w:sz w:val="20"/>
          <w:szCs w:val="20"/>
        </w:rPr>
        <w:t xml:space="preserve"> the</w:t>
      </w:r>
      <w:proofErr w:type="gramEnd"/>
      <w:r w:rsidRPr="00973395">
        <w:rPr>
          <w:sz w:val="20"/>
          <w:szCs w:val="20"/>
        </w:rPr>
        <w:t xml:space="preserve"> fund </w:t>
      </w:r>
      <w:r w:rsidR="00723BEA" w:rsidRPr="00973395">
        <w:rPr>
          <w:sz w:val="20"/>
          <w:szCs w:val="20"/>
        </w:rPr>
        <w:t xml:space="preserve"> is in an instable and cannot handle </w:t>
      </w:r>
      <w:r w:rsidRPr="00973395">
        <w:rPr>
          <w:sz w:val="20"/>
          <w:szCs w:val="20"/>
        </w:rPr>
        <w:t xml:space="preserve"> incre</w:t>
      </w:r>
      <w:r w:rsidR="000842F9" w:rsidRPr="00973395">
        <w:rPr>
          <w:sz w:val="20"/>
          <w:szCs w:val="20"/>
        </w:rPr>
        <w:t>ased payments for crime victims.</w:t>
      </w:r>
      <w:r w:rsidRPr="00973395">
        <w:rPr>
          <w:sz w:val="20"/>
          <w:szCs w:val="20"/>
        </w:rPr>
        <w:t xml:space="preserve"> Further </w:t>
      </w:r>
      <w:r w:rsidR="000842F9" w:rsidRPr="00973395">
        <w:rPr>
          <w:sz w:val="20"/>
          <w:szCs w:val="20"/>
        </w:rPr>
        <w:t>the 2017-20</w:t>
      </w:r>
      <w:r w:rsidRPr="00973395">
        <w:rPr>
          <w:sz w:val="20"/>
          <w:szCs w:val="20"/>
        </w:rPr>
        <w:t xml:space="preserve">18 annual report mentions a significant decline in compensation paid between fiscal year 2013–2014 and 2014–2015 and notes this was largely due to the impact of the Affordable Care Act and the fact that more Californians were covered by health insurance and Medi-Cal. This decline was almost </w:t>
      </w:r>
      <w:r w:rsidR="00723BEA" w:rsidRPr="00973395">
        <w:rPr>
          <w:sz w:val="20"/>
          <w:szCs w:val="20"/>
        </w:rPr>
        <w:t>$</w:t>
      </w:r>
      <w:r w:rsidRPr="00973395">
        <w:rPr>
          <w:sz w:val="20"/>
          <w:szCs w:val="20"/>
        </w:rPr>
        <w:t xml:space="preserve">10 million and would seem to show </w:t>
      </w:r>
      <w:proofErr w:type="gramStart"/>
      <w:r w:rsidRPr="00973395">
        <w:rPr>
          <w:sz w:val="20"/>
          <w:szCs w:val="20"/>
        </w:rPr>
        <w:t>that  the</w:t>
      </w:r>
      <w:proofErr w:type="gramEnd"/>
      <w:r w:rsidRPr="00973395">
        <w:rPr>
          <w:sz w:val="20"/>
          <w:szCs w:val="20"/>
        </w:rPr>
        <w:t xml:space="preserve"> fund h</w:t>
      </w:r>
      <w:r w:rsidR="000842F9" w:rsidRPr="00973395">
        <w:rPr>
          <w:sz w:val="20"/>
          <w:szCs w:val="20"/>
        </w:rPr>
        <w:t xml:space="preserve">ad been able to make pay outs in excess of </w:t>
      </w:r>
      <w:r w:rsidRPr="00973395">
        <w:rPr>
          <w:sz w:val="20"/>
          <w:szCs w:val="20"/>
        </w:rPr>
        <w:t xml:space="preserve"> </w:t>
      </w:r>
      <w:r w:rsidR="00723BEA" w:rsidRPr="00973395">
        <w:rPr>
          <w:sz w:val="20"/>
          <w:szCs w:val="20"/>
        </w:rPr>
        <w:t>$</w:t>
      </w:r>
      <w:r w:rsidRPr="00973395">
        <w:rPr>
          <w:sz w:val="20"/>
          <w:szCs w:val="20"/>
        </w:rPr>
        <w:t>10 million or more in the past that it is no longer paying</w:t>
      </w:r>
      <w:r w:rsidR="00723BEA" w:rsidRPr="00973395">
        <w:rPr>
          <w:sz w:val="20"/>
          <w:szCs w:val="20"/>
        </w:rPr>
        <w:t>, and should not expect to pay</w:t>
      </w:r>
      <w:r w:rsidRPr="00973395">
        <w:rPr>
          <w:sz w:val="20"/>
          <w:szCs w:val="20"/>
        </w:rPr>
        <w:t xml:space="preserve">. </w:t>
      </w:r>
      <w:r w:rsidR="000842F9" w:rsidRPr="00973395">
        <w:rPr>
          <w:sz w:val="20"/>
          <w:szCs w:val="20"/>
        </w:rPr>
        <w:t xml:space="preserve"> California Victim Compensation Board Annual </w:t>
      </w:r>
      <w:proofErr w:type="gramStart"/>
      <w:r w:rsidR="000842F9" w:rsidRPr="00973395">
        <w:rPr>
          <w:sz w:val="20"/>
          <w:szCs w:val="20"/>
        </w:rPr>
        <w:t>Report ,</w:t>
      </w:r>
      <w:proofErr w:type="gramEnd"/>
      <w:r w:rsidR="000842F9" w:rsidRPr="00973395">
        <w:rPr>
          <w:sz w:val="20"/>
          <w:szCs w:val="20"/>
        </w:rPr>
        <w:t xml:space="preserve"> Fiscal Year 2017-2018. Available at: </w:t>
      </w:r>
      <w:hyperlink r:id="rId2" w:history="1">
        <w:r w:rsidR="000842F9" w:rsidRPr="00973395">
          <w:rPr>
            <w:rStyle w:val="Hyperlink"/>
            <w:sz w:val="20"/>
            <w:szCs w:val="20"/>
          </w:rPr>
          <w:t>https://victims.ca.gov/docs/reports/AnnualReport-FY-17-18.pdf</w:t>
        </w:r>
      </w:hyperlink>
    </w:p>
    <w:p w14:paraId="089213FC" w14:textId="3ACA7215" w:rsidR="00925988" w:rsidRDefault="00925988">
      <w:pPr>
        <w:pStyle w:val="FootnoteText"/>
      </w:pPr>
    </w:p>
  </w:footnote>
  <w:footnote w:id="4">
    <w:p w14:paraId="742238CD" w14:textId="0FC3739F" w:rsidR="00D62ADC" w:rsidRPr="0017221F" w:rsidRDefault="00D62ADC" w:rsidP="00D62ADC">
      <w:pPr>
        <w:pStyle w:val="NormalWeb"/>
        <w:spacing w:before="0" w:beforeAutospacing="0" w:after="0" w:afterAutospacing="0"/>
        <w:rPr>
          <w:rFonts w:asciiTheme="minorHAnsi" w:hAnsiTheme="minorHAnsi" w:cs="Calibri"/>
          <w:sz w:val="20"/>
          <w:szCs w:val="20"/>
        </w:rPr>
      </w:pPr>
      <w:r>
        <w:rPr>
          <w:rStyle w:val="FootnoteReference"/>
        </w:rPr>
        <w:footnoteRef/>
      </w:r>
      <w:r>
        <w:t xml:space="preserve"> </w:t>
      </w:r>
      <w:r w:rsidRPr="00BC0D3F">
        <w:rPr>
          <w:rFonts w:ascii="Cambria" w:hAnsi="Cambria" w:cs="Calibri"/>
          <w:sz w:val="20"/>
          <w:szCs w:val="20"/>
        </w:rPr>
        <w:t xml:space="preserve">The Legislature has already explicitly addressed the issue of “double dipping” for crime victims by providing that restitution “ordered pursuant to this subdivision shall be ordered to be deposited in the Restitution Fund to the extent that the victim ... has received assistance from the California Victim Compensation and Government Claims Board pursuant to Chapter 5 (commencing with Section 13950) of Part 4 of Division 3 of Title 2 of the Government Code.”  Penal Code 1202.4(f)(2).  Thus, </w:t>
      </w:r>
      <w:proofErr w:type="spellStart"/>
      <w:r w:rsidRPr="00BC0D3F">
        <w:rPr>
          <w:rFonts w:ascii="Cambria" w:hAnsi="Cambria" w:cs="Calibri"/>
          <w:sz w:val="20"/>
          <w:szCs w:val="20"/>
        </w:rPr>
        <w:t>CalVCB</w:t>
      </w:r>
      <w:proofErr w:type="spellEnd"/>
      <w:r w:rsidRPr="00BC0D3F">
        <w:rPr>
          <w:rFonts w:ascii="Cambria" w:hAnsi="Cambria" w:cs="Calibri"/>
          <w:sz w:val="20"/>
          <w:szCs w:val="20"/>
        </w:rPr>
        <w:t xml:space="preserve"> may be reimbursed by a restitution order directed towards an offender by the courts, including lost wages under AB 900.  Regulations also expressly prevent victims from receiving dual compensation by requiring disclosure of other forms of recovery prior to receiving benefits.  </w:t>
      </w:r>
      <w:r w:rsidRPr="00BC0D3F">
        <w:rPr>
          <w:rFonts w:ascii="Cambria" w:hAnsi="Cambria" w:cs="Calibri"/>
          <w:i/>
          <w:sz w:val="20"/>
          <w:szCs w:val="20"/>
        </w:rPr>
        <w:t>See</w:t>
      </w:r>
      <w:r w:rsidRPr="00BC0D3F">
        <w:rPr>
          <w:rFonts w:ascii="Cambria" w:hAnsi="Cambria" w:cs="Calibri"/>
          <w:sz w:val="20"/>
          <w:szCs w:val="20"/>
        </w:rPr>
        <w:t xml:space="preserve"> 2 C.C.R. § 649.31.  The </w:t>
      </w:r>
      <w:proofErr w:type="spellStart"/>
      <w:r w:rsidRPr="00BC0D3F">
        <w:rPr>
          <w:rFonts w:ascii="Cambria" w:hAnsi="Cambria" w:cs="Calibri"/>
          <w:sz w:val="20"/>
          <w:szCs w:val="20"/>
        </w:rPr>
        <w:t>CalVCB</w:t>
      </w:r>
      <w:proofErr w:type="spellEnd"/>
      <w:r w:rsidRPr="00BC0D3F">
        <w:rPr>
          <w:rFonts w:ascii="Cambria" w:hAnsi="Cambria" w:cs="Calibri"/>
          <w:sz w:val="20"/>
          <w:szCs w:val="20"/>
        </w:rPr>
        <w:t xml:space="preserve"> remains the payer of last resort whether or not a victim can receive compensation or indemnity from other sources.  </w:t>
      </w:r>
    </w:p>
    <w:p w14:paraId="5FE9F387" w14:textId="77777777" w:rsidR="00D62ADC" w:rsidRPr="0017221F" w:rsidRDefault="00D62ADC" w:rsidP="00D62ADC">
      <w:pPr>
        <w:pStyle w:val="FootnoteText"/>
      </w:pPr>
    </w:p>
  </w:footnote>
  <w:footnote w:id="5">
    <w:p w14:paraId="1EA2F4E3" w14:textId="481B1D24" w:rsidR="00723BEA" w:rsidRPr="00973395" w:rsidRDefault="00723BEA" w:rsidP="00973395">
      <w:pPr>
        <w:rPr>
          <w:rFonts w:asciiTheme="majorHAnsi" w:hAnsiTheme="majorHAnsi"/>
          <w:sz w:val="20"/>
          <w:szCs w:val="20"/>
        </w:rPr>
      </w:pPr>
      <w:r>
        <w:rPr>
          <w:rStyle w:val="FootnoteReference"/>
        </w:rPr>
        <w:footnoteRef/>
      </w:r>
      <w:r>
        <w:t xml:space="preserve"> </w:t>
      </w:r>
      <w:r w:rsidR="00973395">
        <w:rPr>
          <w:rFonts w:asciiTheme="majorHAnsi" w:hAnsiTheme="majorHAnsi"/>
          <w:sz w:val="20"/>
          <w:szCs w:val="20"/>
        </w:rPr>
        <w:t>The l</w:t>
      </w:r>
      <w:r w:rsidRPr="00BC0D3F">
        <w:rPr>
          <w:rFonts w:asciiTheme="majorHAnsi" w:hAnsiTheme="majorHAnsi"/>
          <w:sz w:val="20"/>
          <w:szCs w:val="20"/>
        </w:rPr>
        <w:t>ost income provided for hum</w:t>
      </w:r>
      <w:r>
        <w:rPr>
          <w:rFonts w:asciiTheme="majorHAnsi" w:hAnsiTheme="majorHAnsi"/>
          <w:sz w:val="20"/>
          <w:szCs w:val="20"/>
        </w:rPr>
        <w:t>an trafficking victims in AB 629</w:t>
      </w:r>
      <w:r w:rsidRPr="00BC0D3F">
        <w:rPr>
          <w:rFonts w:asciiTheme="majorHAnsi" w:hAnsiTheme="majorHAnsi"/>
          <w:sz w:val="20"/>
          <w:szCs w:val="20"/>
        </w:rPr>
        <w:t xml:space="preserve"> is a covered benefit under VOCA (federal Victims of Crime Act) and thus eligible for reimbursement through the grant program.  This means that like with all cl</w:t>
      </w:r>
      <w:r w:rsidR="00973395">
        <w:rPr>
          <w:rFonts w:asciiTheme="majorHAnsi" w:hAnsiTheme="majorHAnsi"/>
          <w:sz w:val="20"/>
          <w:szCs w:val="20"/>
        </w:rPr>
        <w:t xml:space="preserve">aims, California will receive </w:t>
      </w:r>
      <w:r w:rsidRPr="00BC0D3F">
        <w:rPr>
          <w:rFonts w:asciiTheme="majorHAnsi" w:hAnsiTheme="majorHAnsi"/>
          <w:sz w:val="20"/>
          <w:szCs w:val="20"/>
        </w:rPr>
        <w:t xml:space="preserve">matching federal funds under the established 40% State/60% Federal standard. General Counsel Wayne </w:t>
      </w:r>
      <w:proofErr w:type="spellStart"/>
      <w:r w:rsidRPr="00BC0D3F">
        <w:rPr>
          <w:rFonts w:asciiTheme="majorHAnsi" w:hAnsiTheme="majorHAnsi"/>
          <w:sz w:val="20"/>
          <w:szCs w:val="20"/>
        </w:rPr>
        <w:t>St</w:t>
      </w:r>
      <w:r>
        <w:rPr>
          <w:rFonts w:asciiTheme="majorHAnsi" w:hAnsiTheme="majorHAnsi"/>
          <w:sz w:val="20"/>
          <w:szCs w:val="20"/>
        </w:rPr>
        <w:t>r</w:t>
      </w:r>
      <w:r w:rsidRPr="00BC0D3F">
        <w:rPr>
          <w:rFonts w:asciiTheme="majorHAnsi" w:hAnsiTheme="majorHAnsi"/>
          <w:sz w:val="20"/>
          <w:szCs w:val="20"/>
        </w:rPr>
        <w:t>umpfer</w:t>
      </w:r>
      <w:proofErr w:type="spellEnd"/>
      <w:r w:rsidRPr="00BC0D3F">
        <w:rPr>
          <w:rFonts w:asciiTheme="majorHAnsi" w:hAnsiTheme="majorHAnsi"/>
          <w:sz w:val="20"/>
          <w:szCs w:val="20"/>
        </w:rPr>
        <w:t xml:space="preserve"> of </w:t>
      </w:r>
      <w:proofErr w:type="spellStart"/>
      <w:r w:rsidRPr="00BC0D3F">
        <w:rPr>
          <w:rFonts w:asciiTheme="majorHAnsi" w:hAnsiTheme="majorHAnsi"/>
          <w:sz w:val="20"/>
          <w:szCs w:val="20"/>
        </w:rPr>
        <w:t>CalVCB</w:t>
      </w:r>
      <w:proofErr w:type="spellEnd"/>
      <w:r w:rsidRPr="00BC0D3F">
        <w:rPr>
          <w:rFonts w:asciiTheme="majorHAnsi" w:hAnsiTheme="majorHAnsi"/>
          <w:sz w:val="20"/>
          <w:szCs w:val="20"/>
        </w:rPr>
        <w:t xml:space="preserve"> in 2016, confirmed </w:t>
      </w:r>
      <w:r>
        <w:rPr>
          <w:rFonts w:asciiTheme="majorHAnsi" w:hAnsiTheme="majorHAnsi"/>
          <w:sz w:val="20"/>
          <w:szCs w:val="20"/>
        </w:rPr>
        <w:t>that CALVCB</w:t>
      </w:r>
      <w:r w:rsidRPr="00BC0D3F">
        <w:rPr>
          <w:rFonts w:asciiTheme="majorHAnsi" w:hAnsiTheme="majorHAnsi"/>
          <w:sz w:val="20"/>
          <w:szCs w:val="20"/>
        </w:rPr>
        <w:t xml:space="preserve"> had been told by </w:t>
      </w:r>
      <w:proofErr w:type="spellStart"/>
      <w:r w:rsidRPr="00BC0D3F">
        <w:rPr>
          <w:rFonts w:asciiTheme="majorHAnsi" w:hAnsiTheme="majorHAnsi"/>
          <w:sz w:val="20"/>
          <w:szCs w:val="20"/>
        </w:rPr>
        <w:t>CalVCB’s</w:t>
      </w:r>
      <w:proofErr w:type="spellEnd"/>
      <w:r w:rsidRPr="00BC0D3F">
        <w:rPr>
          <w:rFonts w:asciiTheme="majorHAnsi" w:hAnsiTheme="majorHAnsi"/>
          <w:sz w:val="20"/>
          <w:szCs w:val="20"/>
        </w:rPr>
        <w:t xml:space="preserve"> Washing</w:t>
      </w:r>
      <w:r w:rsidR="00973395">
        <w:rPr>
          <w:rFonts w:asciiTheme="majorHAnsi" w:hAnsiTheme="majorHAnsi"/>
          <w:sz w:val="20"/>
          <w:szCs w:val="20"/>
        </w:rPr>
        <w:t>ton</w:t>
      </w:r>
      <w:r w:rsidRPr="00BC0D3F">
        <w:rPr>
          <w:rFonts w:asciiTheme="majorHAnsi" w:hAnsiTheme="majorHAnsi"/>
          <w:sz w:val="20"/>
          <w:szCs w:val="20"/>
        </w:rPr>
        <w:t xml:space="preserve"> counterparts that if</w:t>
      </w:r>
      <w:r w:rsidRPr="00BC0D3F">
        <w:rPr>
          <w:rFonts w:asciiTheme="majorHAnsi" w:hAnsiTheme="majorHAnsi"/>
          <w:sz w:val="24"/>
          <w:szCs w:val="24"/>
        </w:rPr>
        <w:t xml:space="preserve"> </w:t>
      </w:r>
      <w:r w:rsidRPr="00912C0D">
        <w:rPr>
          <w:rFonts w:asciiTheme="majorHAnsi" w:hAnsiTheme="majorHAnsi"/>
          <w:sz w:val="20"/>
          <w:szCs w:val="20"/>
        </w:rPr>
        <w:t>California covered lost income for human trafficking victims, it could be reimbursed by federal VOCA funding. Further, in conversations in June 2017 with Dan Eddy, the Executive Director of the National Association of Crime Victim Compensation Boards, CAST received verbal confirmation from this national expert that there would be no issue with Cali</w:t>
      </w:r>
      <w:r w:rsidR="00973395">
        <w:rPr>
          <w:rFonts w:asciiTheme="majorHAnsi" w:hAnsiTheme="majorHAnsi"/>
          <w:sz w:val="20"/>
          <w:szCs w:val="20"/>
        </w:rPr>
        <w:t>fornia receiving reimbursement</w:t>
      </w:r>
      <w:r w:rsidRPr="00912C0D">
        <w:rPr>
          <w:rFonts w:asciiTheme="majorHAnsi" w:hAnsiTheme="majorHAnsi"/>
          <w:sz w:val="20"/>
          <w:szCs w:val="20"/>
        </w:rPr>
        <w:t xml:space="preserve"> under the established 40% State/60% Federal standard.</w:t>
      </w:r>
    </w:p>
  </w:footnote>
  <w:footnote w:id="6">
    <w:p w14:paraId="43BFBF2C" w14:textId="77777777" w:rsidR="007A2BEE" w:rsidRDefault="007A2BEE" w:rsidP="007A2BEE">
      <w:pPr>
        <w:pStyle w:val="EndnoteText"/>
      </w:pPr>
      <w:r>
        <w:rPr>
          <w:rStyle w:val="FootnoteReference"/>
        </w:rPr>
        <w:footnoteRef/>
      </w:r>
      <w:r>
        <w:t xml:space="preserve"> </w:t>
      </w:r>
      <w:r w:rsidRPr="004727D3">
        <w:t>Data received from Victims Public Records Ac</w:t>
      </w:r>
      <w:r>
        <w:t xml:space="preserve">t </w:t>
      </w:r>
      <w:r w:rsidRPr="004727D3">
        <w:t>Request</w:t>
      </w:r>
      <w:r>
        <w:t xml:space="preserve"> 3/23/2019</w:t>
      </w:r>
      <w:r w:rsidRPr="004727D3">
        <w:t>. Email on</w:t>
      </w:r>
      <w:r>
        <w:t xml:space="preserve"> </w:t>
      </w:r>
      <w:r w:rsidRPr="004727D3">
        <w:t>file with CAST</w:t>
      </w:r>
      <w:r>
        <w:t>.</w:t>
      </w:r>
    </w:p>
    <w:p w14:paraId="3ED3BC78" w14:textId="73DF66A6" w:rsidR="007A2BEE" w:rsidRDefault="007A2BEE">
      <w:pPr>
        <w:pStyle w:val="FootnoteText"/>
      </w:pPr>
    </w:p>
  </w:footnote>
  <w:footnote w:id="7">
    <w:p w14:paraId="2C1609D7" w14:textId="77777777" w:rsidR="00CA6682" w:rsidRDefault="00CA6682" w:rsidP="00CA6682">
      <w:pPr>
        <w:pStyle w:val="FootnoteText"/>
      </w:pPr>
      <w:r>
        <w:rPr>
          <w:rStyle w:val="FootnoteReference"/>
        </w:rPr>
        <w:footnoteRef/>
      </w:r>
      <w:r>
        <w:t xml:space="preserve"> California Victim Compensation Board Annual </w:t>
      </w:r>
      <w:proofErr w:type="gramStart"/>
      <w:r>
        <w:t>Report ,</w:t>
      </w:r>
      <w:proofErr w:type="gramEnd"/>
      <w:r>
        <w:t xml:space="preserve"> Fiscal Year 2017-2018. Available at:</w:t>
      </w:r>
      <w:r w:rsidRPr="00F4647C">
        <w:t xml:space="preserve"> </w:t>
      </w:r>
      <w:hyperlink r:id="rId3" w:history="1">
        <w:r w:rsidRPr="004934F5">
          <w:rPr>
            <w:rStyle w:val="Hyperlink"/>
          </w:rPr>
          <w:t>https://victims.ca.gov/docs/reports/AnnualReport-FY-17-18.pdf</w:t>
        </w:r>
      </w:hyperlink>
    </w:p>
    <w:p w14:paraId="094780E5" w14:textId="08A183DB" w:rsidR="00CA6682" w:rsidRDefault="00CA6682">
      <w:pPr>
        <w:pStyle w:val="FootnoteText"/>
      </w:pPr>
    </w:p>
  </w:footnote>
  <w:footnote w:id="8">
    <w:p w14:paraId="6680DCA1" w14:textId="5AB5DA17" w:rsidR="004727D3" w:rsidRPr="007A2BEE" w:rsidRDefault="004727D3" w:rsidP="004727D3">
      <w:pPr>
        <w:rPr>
          <w:rFonts w:asciiTheme="majorHAnsi" w:hAnsiTheme="majorHAnsi"/>
          <w:sz w:val="20"/>
          <w:szCs w:val="20"/>
        </w:rPr>
      </w:pPr>
      <w:r w:rsidRPr="007A2BEE">
        <w:rPr>
          <w:rStyle w:val="FootnoteReference"/>
          <w:sz w:val="20"/>
          <w:szCs w:val="20"/>
        </w:rPr>
        <w:footnoteRef/>
      </w:r>
      <w:r w:rsidRPr="007A2BEE">
        <w:rPr>
          <w:sz w:val="20"/>
          <w:szCs w:val="20"/>
        </w:rPr>
        <w:t xml:space="preserve"> </w:t>
      </w:r>
      <w:r w:rsidRPr="007A2BEE">
        <w:rPr>
          <w:rFonts w:asciiTheme="majorHAnsi" w:hAnsiTheme="majorHAnsi"/>
          <w:sz w:val="20"/>
          <w:szCs w:val="20"/>
        </w:rPr>
        <w:t>In our experience this low rate is due to numerous reasons that have nothing to do with the cha</w:t>
      </w:r>
      <w:r w:rsidR="00723BEA">
        <w:rPr>
          <w:rFonts w:asciiTheme="majorHAnsi" w:hAnsiTheme="majorHAnsi"/>
          <w:sz w:val="20"/>
          <w:szCs w:val="20"/>
        </w:rPr>
        <w:t>nge in policy proposed by AB 629</w:t>
      </w:r>
      <w:r w:rsidRPr="007A2BEE">
        <w:rPr>
          <w:rFonts w:asciiTheme="majorHAnsi" w:hAnsiTheme="majorHAnsi"/>
          <w:sz w:val="20"/>
          <w:szCs w:val="20"/>
        </w:rPr>
        <w:t xml:space="preserve">.  For example, victims often require assistance to access services through the </w:t>
      </w:r>
      <w:proofErr w:type="spellStart"/>
      <w:r w:rsidRPr="007A2BEE">
        <w:rPr>
          <w:rFonts w:asciiTheme="majorHAnsi" w:hAnsiTheme="majorHAnsi"/>
          <w:sz w:val="20"/>
          <w:szCs w:val="20"/>
        </w:rPr>
        <w:t>CalVCB</w:t>
      </w:r>
      <w:proofErr w:type="spellEnd"/>
      <w:r w:rsidRPr="007A2BEE">
        <w:rPr>
          <w:rFonts w:asciiTheme="majorHAnsi" w:hAnsiTheme="majorHAnsi"/>
          <w:sz w:val="20"/>
          <w:szCs w:val="20"/>
        </w:rPr>
        <w:t xml:space="preserve"> and often do not self-identify as trafficking victims for many years after these crimes, given factors such as feeling like they somehow consented to their own enslavement, the stigma around being forced to commit criminal acts or being undocumented, and a general fear of police and government agencies instilled by their traffickers.  </w:t>
      </w:r>
    </w:p>
    <w:p w14:paraId="789D0438" w14:textId="3813A2AF" w:rsidR="004727D3" w:rsidRPr="007A2BEE" w:rsidRDefault="004727D3" w:rsidP="004727D3">
      <w:pPr>
        <w:rPr>
          <w:rFonts w:asciiTheme="majorHAnsi" w:hAnsiTheme="majorHAnsi"/>
          <w:sz w:val="20"/>
          <w:szCs w:val="20"/>
        </w:rPr>
      </w:pPr>
      <w:r w:rsidRPr="007A2BEE">
        <w:rPr>
          <w:rFonts w:asciiTheme="majorHAnsi" w:hAnsiTheme="majorHAnsi"/>
          <w:sz w:val="20"/>
          <w:szCs w:val="20"/>
        </w:rPr>
        <w:t xml:space="preserve">Additionally, the fact that </w:t>
      </w:r>
      <w:proofErr w:type="spellStart"/>
      <w:r w:rsidRPr="007A2BEE">
        <w:rPr>
          <w:rFonts w:asciiTheme="majorHAnsi" w:hAnsiTheme="majorHAnsi"/>
          <w:sz w:val="20"/>
          <w:szCs w:val="20"/>
        </w:rPr>
        <w:t>CalVCB</w:t>
      </w:r>
      <w:proofErr w:type="spellEnd"/>
      <w:r w:rsidRPr="007A2BEE">
        <w:rPr>
          <w:rFonts w:asciiTheme="majorHAnsi" w:hAnsiTheme="majorHAnsi"/>
          <w:sz w:val="20"/>
          <w:szCs w:val="20"/>
        </w:rPr>
        <w:t xml:space="preserve"> claims are time-limited (generally applicants must apply within three years of the criminal activity) means that many trafficking victims who escape from their traffickers will never be able to seek </w:t>
      </w:r>
      <w:proofErr w:type="spellStart"/>
      <w:r w:rsidRPr="007A2BEE">
        <w:rPr>
          <w:rFonts w:asciiTheme="majorHAnsi" w:hAnsiTheme="majorHAnsi"/>
          <w:sz w:val="20"/>
          <w:szCs w:val="20"/>
        </w:rPr>
        <w:t>CalVCB</w:t>
      </w:r>
      <w:proofErr w:type="spellEnd"/>
      <w:r w:rsidRPr="007A2BEE">
        <w:rPr>
          <w:rFonts w:asciiTheme="majorHAnsi" w:hAnsiTheme="majorHAnsi"/>
          <w:sz w:val="20"/>
          <w:szCs w:val="20"/>
        </w:rPr>
        <w:t xml:space="preserve"> funds, because they often are not able to apply in time due to lack of access to services or because they often do not self-identify as a crime v</w:t>
      </w:r>
      <w:r w:rsidR="00723BEA">
        <w:rPr>
          <w:rFonts w:asciiTheme="majorHAnsi" w:hAnsiTheme="majorHAnsi"/>
          <w:sz w:val="20"/>
          <w:szCs w:val="20"/>
        </w:rPr>
        <w:t>ictim and seek services.  AB 629</w:t>
      </w:r>
      <w:r w:rsidRPr="007A2BEE">
        <w:rPr>
          <w:rFonts w:asciiTheme="majorHAnsi" w:hAnsiTheme="majorHAnsi"/>
          <w:sz w:val="20"/>
          <w:szCs w:val="20"/>
        </w:rPr>
        <w:t xml:space="preserve"> does nothing to change these well-established and documented issues for trafficking victims. </w:t>
      </w:r>
    </w:p>
    <w:p w14:paraId="59FBB13B" w14:textId="354C89C7" w:rsidR="004727D3" w:rsidRDefault="004727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BC49" w14:textId="77777777" w:rsidR="00EC6595" w:rsidRDefault="00EC6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2A47" w14:textId="77777777" w:rsidR="00EC6595" w:rsidRDefault="00EC6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ED1F" w14:textId="77777777" w:rsidR="00EC6595" w:rsidRDefault="00EC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A2E"/>
    <w:multiLevelType w:val="hybridMultilevel"/>
    <w:tmpl w:val="76F03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6D1343"/>
    <w:multiLevelType w:val="hybridMultilevel"/>
    <w:tmpl w:val="074C55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C6C2D"/>
    <w:multiLevelType w:val="hybridMultilevel"/>
    <w:tmpl w:val="6CDEF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0264E46"/>
    <w:multiLevelType w:val="hybridMultilevel"/>
    <w:tmpl w:val="0E2C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AA"/>
    <w:rsid w:val="000039AC"/>
    <w:rsid w:val="00006696"/>
    <w:rsid w:val="00011613"/>
    <w:rsid w:val="00032C7E"/>
    <w:rsid w:val="00053119"/>
    <w:rsid w:val="00057F3E"/>
    <w:rsid w:val="00070967"/>
    <w:rsid w:val="00077DF0"/>
    <w:rsid w:val="000842F9"/>
    <w:rsid w:val="00085278"/>
    <w:rsid w:val="00087BFD"/>
    <w:rsid w:val="000A4C67"/>
    <w:rsid w:val="000B210D"/>
    <w:rsid w:val="000B3BD8"/>
    <w:rsid w:val="000C55C0"/>
    <w:rsid w:val="000E149A"/>
    <w:rsid w:val="000E33D0"/>
    <w:rsid w:val="001056B7"/>
    <w:rsid w:val="00105F9A"/>
    <w:rsid w:val="00164E90"/>
    <w:rsid w:val="0018603A"/>
    <w:rsid w:val="00186E19"/>
    <w:rsid w:val="00191735"/>
    <w:rsid w:val="001B3F4D"/>
    <w:rsid w:val="001B58FF"/>
    <w:rsid w:val="001C559F"/>
    <w:rsid w:val="001F4820"/>
    <w:rsid w:val="00203BCF"/>
    <w:rsid w:val="002218E4"/>
    <w:rsid w:val="00240676"/>
    <w:rsid w:val="00262C22"/>
    <w:rsid w:val="002714E6"/>
    <w:rsid w:val="00274ACA"/>
    <w:rsid w:val="002B159B"/>
    <w:rsid w:val="002C00F1"/>
    <w:rsid w:val="002D4EFA"/>
    <w:rsid w:val="002E19D7"/>
    <w:rsid w:val="002E4DF0"/>
    <w:rsid w:val="00315D21"/>
    <w:rsid w:val="003505D9"/>
    <w:rsid w:val="00360D68"/>
    <w:rsid w:val="0039690C"/>
    <w:rsid w:val="003A096E"/>
    <w:rsid w:val="003D4409"/>
    <w:rsid w:val="003E37A8"/>
    <w:rsid w:val="003F2384"/>
    <w:rsid w:val="00400091"/>
    <w:rsid w:val="0040448B"/>
    <w:rsid w:val="00424960"/>
    <w:rsid w:val="00426381"/>
    <w:rsid w:val="0043500A"/>
    <w:rsid w:val="00446CB0"/>
    <w:rsid w:val="004567BC"/>
    <w:rsid w:val="00470559"/>
    <w:rsid w:val="004727D3"/>
    <w:rsid w:val="00491A86"/>
    <w:rsid w:val="00497CBD"/>
    <w:rsid w:val="004A1E65"/>
    <w:rsid w:val="004C00DB"/>
    <w:rsid w:val="004D2B73"/>
    <w:rsid w:val="004D56D1"/>
    <w:rsid w:val="004E0B54"/>
    <w:rsid w:val="004E2FDC"/>
    <w:rsid w:val="004F0DF3"/>
    <w:rsid w:val="00506263"/>
    <w:rsid w:val="00507835"/>
    <w:rsid w:val="00515F9B"/>
    <w:rsid w:val="005217DD"/>
    <w:rsid w:val="005256DE"/>
    <w:rsid w:val="00535BD3"/>
    <w:rsid w:val="00536153"/>
    <w:rsid w:val="005508C9"/>
    <w:rsid w:val="00566366"/>
    <w:rsid w:val="00571DC4"/>
    <w:rsid w:val="00583975"/>
    <w:rsid w:val="005860C8"/>
    <w:rsid w:val="005902C7"/>
    <w:rsid w:val="005A2B64"/>
    <w:rsid w:val="005C194F"/>
    <w:rsid w:val="005C56B1"/>
    <w:rsid w:val="005E334D"/>
    <w:rsid w:val="005F45B2"/>
    <w:rsid w:val="005F616E"/>
    <w:rsid w:val="005F6CDB"/>
    <w:rsid w:val="00606F39"/>
    <w:rsid w:val="00620F22"/>
    <w:rsid w:val="00637FA9"/>
    <w:rsid w:val="00640285"/>
    <w:rsid w:val="006441D0"/>
    <w:rsid w:val="00651B53"/>
    <w:rsid w:val="0065517A"/>
    <w:rsid w:val="00663427"/>
    <w:rsid w:val="006815A2"/>
    <w:rsid w:val="006976B1"/>
    <w:rsid w:val="006A0762"/>
    <w:rsid w:val="006A12AA"/>
    <w:rsid w:val="006A4A70"/>
    <w:rsid w:val="006A53A1"/>
    <w:rsid w:val="006E1BF2"/>
    <w:rsid w:val="006E36F4"/>
    <w:rsid w:val="00705217"/>
    <w:rsid w:val="00723BEA"/>
    <w:rsid w:val="0073434A"/>
    <w:rsid w:val="00734E4D"/>
    <w:rsid w:val="00737301"/>
    <w:rsid w:val="007530E7"/>
    <w:rsid w:val="007800C9"/>
    <w:rsid w:val="00795E08"/>
    <w:rsid w:val="00796B0D"/>
    <w:rsid w:val="007A2BEE"/>
    <w:rsid w:val="007B336A"/>
    <w:rsid w:val="007D22E0"/>
    <w:rsid w:val="00820601"/>
    <w:rsid w:val="0084667E"/>
    <w:rsid w:val="0086277A"/>
    <w:rsid w:val="00865C66"/>
    <w:rsid w:val="008737C3"/>
    <w:rsid w:val="0088170A"/>
    <w:rsid w:val="00881FB0"/>
    <w:rsid w:val="008B37E8"/>
    <w:rsid w:val="008C707C"/>
    <w:rsid w:val="008E2A9E"/>
    <w:rsid w:val="00907215"/>
    <w:rsid w:val="009106BF"/>
    <w:rsid w:val="009134C4"/>
    <w:rsid w:val="009144C2"/>
    <w:rsid w:val="00925906"/>
    <w:rsid w:val="00925988"/>
    <w:rsid w:val="00943B39"/>
    <w:rsid w:val="00973395"/>
    <w:rsid w:val="00975073"/>
    <w:rsid w:val="00975C6F"/>
    <w:rsid w:val="009872DA"/>
    <w:rsid w:val="00987EC8"/>
    <w:rsid w:val="00994178"/>
    <w:rsid w:val="009954D7"/>
    <w:rsid w:val="00995E9C"/>
    <w:rsid w:val="009A2336"/>
    <w:rsid w:val="009C5B72"/>
    <w:rsid w:val="009C63B8"/>
    <w:rsid w:val="009D197A"/>
    <w:rsid w:val="009D3E0B"/>
    <w:rsid w:val="009D58B4"/>
    <w:rsid w:val="009E0CED"/>
    <w:rsid w:val="009E3B83"/>
    <w:rsid w:val="009F43DD"/>
    <w:rsid w:val="00A11362"/>
    <w:rsid w:val="00A2374D"/>
    <w:rsid w:val="00A2616E"/>
    <w:rsid w:val="00A97C88"/>
    <w:rsid w:val="00AA0FC7"/>
    <w:rsid w:val="00AA2A45"/>
    <w:rsid w:val="00AC0D5F"/>
    <w:rsid w:val="00AC7231"/>
    <w:rsid w:val="00AD2122"/>
    <w:rsid w:val="00AF2AD6"/>
    <w:rsid w:val="00AF4DD0"/>
    <w:rsid w:val="00B0561A"/>
    <w:rsid w:val="00B11CDC"/>
    <w:rsid w:val="00B1285A"/>
    <w:rsid w:val="00B16398"/>
    <w:rsid w:val="00B235FE"/>
    <w:rsid w:val="00B357D3"/>
    <w:rsid w:val="00B46EED"/>
    <w:rsid w:val="00B50D5B"/>
    <w:rsid w:val="00B90554"/>
    <w:rsid w:val="00B96E04"/>
    <w:rsid w:val="00BC7570"/>
    <w:rsid w:val="00BD1552"/>
    <w:rsid w:val="00BE4DEE"/>
    <w:rsid w:val="00BF15FC"/>
    <w:rsid w:val="00BF4319"/>
    <w:rsid w:val="00BF760A"/>
    <w:rsid w:val="00C300A6"/>
    <w:rsid w:val="00C34E66"/>
    <w:rsid w:val="00C51F24"/>
    <w:rsid w:val="00C53169"/>
    <w:rsid w:val="00C7407E"/>
    <w:rsid w:val="00C7724D"/>
    <w:rsid w:val="00C8049D"/>
    <w:rsid w:val="00C8616C"/>
    <w:rsid w:val="00C97425"/>
    <w:rsid w:val="00CA31CC"/>
    <w:rsid w:val="00CA63DD"/>
    <w:rsid w:val="00CA6682"/>
    <w:rsid w:val="00CB06CA"/>
    <w:rsid w:val="00CB6D58"/>
    <w:rsid w:val="00CB7FE0"/>
    <w:rsid w:val="00CD5504"/>
    <w:rsid w:val="00CD62F9"/>
    <w:rsid w:val="00CE08ED"/>
    <w:rsid w:val="00CF6989"/>
    <w:rsid w:val="00D116C0"/>
    <w:rsid w:val="00D25371"/>
    <w:rsid w:val="00D4251D"/>
    <w:rsid w:val="00D445FD"/>
    <w:rsid w:val="00D47D25"/>
    <w:rsid w:val="00D614FF"/>
    <w:rsid w:val="00D62ADC"/>
    <w:rsid w:val="00D76C59"/>
    <w:rsid w:val="00DD24BA"/>
    <w:rsid w:val="00DF7866"/>
    <w:rsid w:val="00E13647"/>
    <w:rsid w:val="00E43980"/>
    <w:rsid w:val="00E45913"/>
    <w:rsid w:val="00E613AC"/>
    <w:rsid w:val="00E670DB"/>
    <w:rsid w:val="00E91583"/>
    <w:rsid w:val="00EA0BFF"/>
    <w:rsid w:val="00EA2DA8"/>
    <w:rsid w:val="00EC6595"/>
    <w:rsid w:val="00ED2A1B"/>
    <w:rsid w:val="00F142AA"/>
    <w:rsid w:val="00F16819"/>
    <w:rsid w:val="00F16C3E"/>
    <w:rsid w:val="00F27F2D"/>
    <w:rsid w:val="00F43F2B"/>
    <w:rsid w:val="00F4647C"/>
    <w:rsid w:val="00F52E09"/>
    <w:rsid w:val="00F64477"/>
    <w:rsid w:val="00F73A08"/>
    <w:rsid w:val="00F77B7F"/>
    <w:rsid w:val="00F819F9"/>
    <w:rsid w:val="00F93611"/>
    <w:rsid w:val="00FB5004"/>
    <w:rsid w:val="00FC075F"/>
    <w:rsid w:val="00FD2151"/>
    <w:rsid w:val="00FF2516"/>
    <w:rsid w:val="00FF375F"/>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53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04"/>
  </w:style>
  <w:style w:type="paragraph" w:styleId="Footer">
    <w:name w:val="footer"/>
    <w:basedOn w:val="Normal"/>
    <w:link w:val="FooterChar"/>
    <w:uiPriority w:val="99"/>
    <w:unhideWhenUsed/>
    <w:rsid w:val="00FB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04"/>
  </w:style>
  <w:style w:type="character" w:customStyle="1" w:styleId="zzmpTrailerItem">
    <w:name w:val="zzmpTrailerItem"/>
    <w:rsid w:val="00FB5004"/>
    <w:rPr>
      <w:rFonts w:ascii="Calibri" w:hAnsi="Calibri" w:cs="Times New Roman"/>
      <w:dstrike w:val="0"/>
      <w:noProof/>
      <w:color w:val="auto"/>
      <w:spacing w:val="0"/>
      <w:position w:val="0"/>
      <w:sz w:val="16"/>
      <w:szCs w:val="16"/>
      <w:u w:val="none"/>
      <w:effect w:val="none"/>
      <w:vertAlign w:val="baseline"/>
    </w:rPr>
  </w:style>
  <w:style w:type="paragraph" w:customStyle="1" w:styleId="tblText">
    <w:name w:val="tbl Text"/>
    <w:basedOn w:val="Normal"/>
    <w:rsid w:val="00E13647"/>
    <w:pPr>
      <w:spacing w:before="120" w:after="240" w:line="240" w:lineRule="auto"/>
      <w:ind w:right="216"/>
    </w:pPr>
    <w:rPr>
      <w:rFonts w:ascii="Times New Roman" w:eastAsia="Times New Roman" w:hAnsi="Times New Roman" w:cs="Times New Roman"/>
      <w:sz w:val="24"/>
      <w:szCs w:val="20"/>
    </w:rPr>
  </w:style>
  <w:style w:type="paragraph" w:customStyle="1" w:styleId="MemoDate">
    <w:name w:val="Memo Date"/>
    <w:basedOn w:val="tblText"/>
    <w:rsid w:val="00E13647"/>
  </w:style>
  <w:style w:type="paragraph" w:customStyle="1" w:styleId="MemoHeadings">
    <w:name w:val="Memo Headings"/>
    <w:basedOn w:val="Normal"/>
    <w:rsid w:val="00E13647"/>
    <w:pPr>
      <w:spacing w:before="140"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E43980"/>
    <w:pPr>
      <w:spacing w:after="0" w:line="240" w:lineRule="auto"/>
    </w:pPr>
    <w:rPr>
      <w:sz w:val="20"/>
      <w:szCs w:val="20"/>
    </w:rPr>
  </w:style>
  <w:style w:type="character" w:customStyle="1" w:styleId="FootnoteTextChar">
    <w:name w:val="Footnote Text Char"/>
    <w:basedOn w:val="DefaultParagraphFont"/>
    <w:link w:val="FootnoteText"/>
    <w:uiPriority w:val="99"/>
    <w:rsid w:val="00E43980"/>
    <w:rPr>
      <w:sz w:val="20"/>
      <w:szCs w:val="20"/>
    </w:rPr>
  </w:style>
  <w:style w:type="character" w:styleId="FootnoteReference">
    <w:name w:val="footnote reference"/>
    <w:basedOn w:val="DefaultParagraphFont"/>
    <w:uiPriority w:val="99"/>
    <w:unhideWhenUsed/>
    <w:rsid w:val="00E43980"/>
    <w:rPr>
      <w:vertAlign w:val="superscript"/>
    </w:rPr>
  </w:style>
  <w:style w:type="character" w:styleId="Hyperlink">
    <w:name w:val="Hyperlink"/>
    <w:basedOn w:val="DefaultParagraphFont"/>
    <w:uiPriority w:val="99"/>
    <w:unhideWhenUsed/>
    <w:rsid w:val="009A2336"/>
    <w:rPr>
      <w:color w:val="0000FF" w:themeColor="hyperlink"/>
      <w:u w:val="single"/>
    </w:rPr>
  </w:style>
  <w:style w:type="paragraph" w:styleId="BalloonText">
    <w:name w:val="Balloon Text"/>
    <w:basedOn w:val="Normal"/>
    <w:link w:val="BalloonTextChar"/>
    <w:uiPriority w:val="99"/>
    <w:semiHidden/>
    <w:unhideWhenUsed/>
    <w:rsid w:val="0040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8B"/>
    <w:rPr>
      <w:rFonts w:ascii="Tahoma" w:hAnsi="Tahoma" w:cs="Tahoma"/>
      <w:sz w:val="16"/>
      <w:szCs w:val="16"/>
    </w:rPr>
  </w:style>
  <w:style w:type="paragraph" w:styleId="ListParagraph">
    <w:name w:val="List Paragraph"/>
    <w:basedOn w:val="Normal"/>
    <w:uiPriority w:val="34"/>
    <w:qFormat/>
    <w:rsid w:val="00032C7E"/>
    <w:pPr>
      <w:ind w:left="720"/>
      <w:contextualSpacing/>
    </w:pPr>
  </w:style>
  <w:style w:type="character" w:styleId="CommentReference">
    <w:name w:val="annotation reference"/>
    <w:basedOn w:val="DefaultParagraphFont"/>
    <w:uiPriority w:val="99"/>
    <w:semiHidden/>
    <w:unhideWhenUsed/>
    <w:rsid w:val="001B58FF"/>
    <w:rPr>
      <w:sz w:val="16"/>
      <w:szCs w:val="16"/>
    </w:rPr>
  </w:style>
  <w:style w:type="paragraph" w:styleId="CommentText">
    <w:name w:val="annotation text"/>
    <w:basedOn w:val="Normal"/>
    <w:link w:val="CommentTextChar"/>
    <w:uiPriority w:val="99"/>
    <w:semiHidden/>
    <w:unhideWhenUsed/>
    <w:rsid w:val="001B58FF"/>
    <w:pPr>
      <w:spacing w:line="240" w:lineRule="auto"/>
    </w:pPr>
    <w:rPr>
      <w:sz w:val="20"/>
      <w:szCs w:val="20"/>
    </w:rPr>
  </w:style>
  <w:style w:type="character" w:customStyle="1" w:styleId="CommentTextChar">
    <w:name w:val="Comment Text Char"/>
    <w:basedOn w:val="DefaultParagraphFont"/>
    <w:link w:val="CommentText"/>
    <w:uiPriority w:val="99"/>
    <w:semiHidden/>
    <w:rsid w:val="001B58FF"/>
    <w:rPr>
      <w:sz w:val="20"/>
      <w:szCs w:val="20"/>
    </w:rPr>
  </w:style>
  <w:style w:type="paragraph" w:styleId="CommentSubject">
    <w:name w:val="annotation subject"/>
    <w:basedOn w:val="CommentText"/>
    <w:next w:val="CommentText"/>
    <w:link w:val="CommentSubjectChar"/>
    <w:uiPriority w:val="99"/>
    <w:semiHidden/>
    <w:unhideWhenUsed/>
    <w:rsid w:val="001B58FF"/>
    <w:rPr>
      <w:b/>
      <w:bCs/>
    </w:rPr>
  </w:style>
  <w:style w:type="character" w:customStyle="1" w:styleId="CommentSubjectChar">
    <w:name w:val="Comment Subject Char"/>
    <w:basedOn w:val="CommentTextChar"/>
    <w:link w:val="CommentSubject"/>
    <w:uiPriority w:val="99"/>
    <w:semiHidden/>
    <w:rsid w:val="001B58FF"/>
    <w:rPr>
      <w:b/>
      <w:bCs/>
      <w:sz w:val="20"/>
      <w:szCs w:val="20"/>
    </w:rPr>
  </w:style>
  <w:style w:type="paragraph" w:styleId="Revision">
    <w:name w:val="Revision"/>
    <w:hidden/>
    <w:uiPriority w:val="99"/>
    <w:semiHidden/>
    <w:rsid w:val="005F6CDB"/>
    <w:pPr>
      <w:spacing w:after="0" w:line="240" w:lineRule="auto"/>
    </w:pPr>
  </w:style>
  <w:style w:type="paragraph" w:styleId="EndnoteText">
    <w:name w:val="endnote text"/>
    <w:basedOn w:val="Normal"/>
    <w:link w:val="EndnoteTextChar"/>
    <w:uiPriority w:val="99"/>
    <w:semiHidden/>
    <w:unhideWhenUsed/>
    <w:rsid w:val="00925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988"/>
    <w:rPr>
      <w:sz w:val="20"/>
      <w:szCs w:val="20"/>
    </w:rPr>
  </w:style>
  <w:style w:type="character" w:styleId="EndnoteReference">
    <w:name w:val="endnote reference"/>
    <w:basedOn w:val="DefaultParagraphFont"/>
    <w:uiPriority w:val="99"/>
    <w:semiHidden/>
    <w:unhideWhenUsed/>
    <w:rsid w:val="009259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04"/>
  </w:style>
  <w:style w:type="paragraph" w:styleId="Footer">
    <w:name w:val="footer"/>
    <w:basedOn w:val="Normal"/>
    <w:link w:val="FooterChar"/>
    <w:uiPriority w:val="99"/>
    <w:unhideWhenUsed/>
    <w:rsid w:val="00FB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04"/>
  </w:style>
  <w:style w:type="character" w:customStyle="1" w:styleId="zzmpTrailerItem">
    <w:name w:val="zzmpTrailerItem"/>
    <w:rsid w:val="00FB5004"/>
    <w:rPr>
      <w:rFonts w:ascii="Calibri" w:hAnsi="Calibri" w:cs="Times New Roman"/>
      <w:dstrike w:val="0"/>
      <w:noProof/>
      <w:color w:val="auto"/>
      <w:spacing w:val="0"/>
      <w:position w:val="0"/>
      <w:sz w:val="16"/>
      <w:szCs w:val="16"/>
      <w:u w:val="none"/>
      <w:effect w:val="none"/>
      <w:vertAlign w:val="baseline"/>
    </w:rPr>
  </w:style>
  <w:style w:type="paragraph" w:customStyle="1" w:styleId="tblText">
    <w:name w:val="tbl Text"/>
    <w:basedOn w:val="Normal"/>
    <w:rsid w:val="00E13647"/>
    <w:pPr>
      <w:spacing w:before="120" w:after="240" w:line="240" w:lineRule="auto"/>
      <w:ind w:right="216"/>
    </w:pPr>
    <w:rPr>
      <w:rFonts w:ascii="Times New Roman" w:eastAsia="Times New Roman" w:hAnsi="Times New Roman" w:cs="Times New Roman"/>
      <w:sz w:val="24"/>
      <w:szCs w:val="20"/>
    </w:rPr>
  </w:style>
  <w:style w:type="paragraph" w:customStyle="1" w:styleId="MemoDate">
    <w:name w:val="Memo Date"/>
    <w:basedOn w:val="tblText"/>
    <w:rsid w:val="00E13647"/>
  </w:style>
  <w:style w:type="paragraph" w:customStyle="1" w:styleId="MemoHeadings">
    <w:name w:val="Memo Headings"/>
    <w:basedOn w:val="Normal"/>
    <w:rsid w:val="00E13647"/>
    <w:pPr>
      <w:spacing w:before="140"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unhideWhenUsed/>
    <w:rsid w:val="00E43980"/>
    <w:pPr>
      <w:spacing w:after="0" w:line="240" w:lineRule="auto"/>
    </w:pPr>
    <w:rPr>
      <w:sz w:val="20"/>
      <w:szCs w:val="20"/>
    </w:rPr>
  </w:style>
  <w:style w:type="character" w:customStyle="1" w:styleId="FootnoteTextChar">
    <w:name w:val="Footnote Text Char"/>
    <w:basedOn w:val="DefaultParagraphFont"/>
    <w:link w:val="FootnoteText"/>
    <w:uiPriority w:val="99"/>
    <w:rsid w:val="00E43980"/>
    <w:rPr>
      <w:sz w:val="20"/>
      <w:szCs w:val="20"/>
    </w:rPr>
  </w:style>
  <w:style w:type="character" w:styleId="FootnoteReference">
    <w:name w:val="footnote reference"/>
    <w:basedOn w:val="DefaultParagraphFont"/>
    <w:uiPriority w:val="99"/>
    <w:unhideWhenUsed/>
    <w:rsid w:val="00E43980"/>
    <w:rPr>
      <w:vertAlign w:val="superscript"/>
    </w:rPr>
  </w:style>
  <w:style w:type="character" w:styleId="Hyperlink">
    <w:name w:val="Hyperlink"/>
    <w:basedOn w:val="DefaultParagraphFont"/>
    <w:uiPriority w:val="99"/>
    <w:unhideWhenUsed/>
    <w:rsid w:val="009A2336"/>
    <w:rPr>
      <w:color w:val="0000FF" w:themeColor="hyperlink"/>
      <w:u w:val="single"/>
    </w:rPr>
  </w:style>
  <w:style w:type="paragraph" w:styleId="BalloonText">
    <w:name w:val="Balloon Text"/>
    <w:basedOn w:val="Normal"/>
    <w:link w:val="BalloonTextChar"/>
    <w:uiPriority w:val="99"/>
    <w:semiHidden/>
    <w:unhideWhenUsed/>
    <w:rsid w:val="0040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8B"/>
    <w:rPr>
      <w:rFonts w:ascii="Tahoma" w:hAnsi="Tahoma" w:cs="Tahoma"/>
      <w:sz w:val="16"/>
      <w:szCs w:val="16"/>
    </w:rPr>
  </w:style>
  <w:style w:type="paragraph" w:styleId="ListParagraph">
    <w:name w:val="List Paragraph"/>
    <w:basedOn w:val="Normal"/>
    <w:uiPriority w:val="34"/>
    <w:qFormat/>
    <w:rsid w:val="00032C7E"/>
    <w:pPr>
      <w:ind w:left="720"/>
      <w:contextualSpacing/>
    </w:pPr>
  </w:style>
  <w:style w:type="character" w:styleId="CommentReference">
    <w:name w:val="annotation reference"/>
    <w:basedOn w:val="DefaultParagraphFont"/>
    <w:uiPriority w:val="99"/>
    <w:semiHidden/>
    <w:unhideWhenUsed/>
    <w:rsid w:val="001B58FF"/>
    <w:rPr>
      <w:sz w:val="16"/>
      <w:szCs w:val="16"/>
    </w:rPr>
  </w:style>
  <w:style w:type="paragraph" w:styleId="CommentText">
    <w:name w:val="annotation text"/>
    <w:basedOn w:val="Normal"/>
    <w:link w:val="CommentTextChar"/>
    <w:uiPriority w:val="99"/>
    <w:semiHidden/>
    <w:unhideWhenUsed/>
    <w:rsid w:val="001B58FF"/>
    <w:pPr>
      <w:spacing w:line="240" w:lineRule="auto"/>
    </w:pPr>
    <w:rPr>
      <w:sz w:val="20"/>
      <w:szCs w:val="20"/>
    </w:rPr>
  </w:style>
  <w:style w:type="character" w:customStyle="1" w:styleId="CommentTextChar">
    <w:name w:val="Comment Text Char"/>
    <w:basedOn w:val="DefaultParagraphFont"/>
    <w:link w:val="CommentText"/>
    <w:uiPriority w:val="99"/>
    <w:semiHidden/>
    <w:rsid w:val="001B58FF"/>
    <w:rPr>
      <w:sz w:val="20"/>
      <w:szCs w:val="20"/>
    </w:rPr>
  </w:style>
  <w:style w:type="paragraph" w:styleId="CommentSubject">
    <w:name w:val="annotation subject"/>
    <w:basedOn w:val="CommentText"/>
    <w:next w:val="CommentText"/>
    <w:link w:val="CommentSubjectChar"/>
    <w:uiPriority w:val="99"/>
    <w:semiHidden/>
    <w:unhideWhenUsed/>
    <w:rsid w:val="001B58FF"/>
    <w:rPr>
      <w:b/>
      <w:bCs/>
    </w:rPr>
  </w:style>
  <w:style w:type="character" w:customStyle="1" w:styleId="CommentSubjectChar">
    <w:name w:val="Comment Subject Char"/>
    <w:basedOn w:val="CommentTextChar"/>
    <w:link w:val="CommentSubject"/>
    <w:uiPriority w:val="99"/>
    <w:semiHidden/>
    <w:rsid w:val="001B58FF"/>
    <w:rPr>
      <w:b/>
      <w:bCs/>
      <w:sz w:val="20"/>
      <w:szCs w:val="20"/>
    </w:rPr>
  </w:style>
  <w:style w:type="paragraph" w:styleId="Revision">
    <w:name w:val="Revision"/>
    <w:hidden/>
    <w:uiPriority w:val="99"/>
    <w:semiHidden/>
    <w:rsid w:val="005F6CDB"/>
    <w:pPr>
      <w:spacing w:after="0" w:line="240" w:lineRule="auto"/>
    </w:pPr>
  </w:style>
  <w:style w:type="paragraph" w:styleId="EndnoteText">
    <w:name w:val="endnote text"/>
    <w:basedOn w:val="Normal"/>
    <w:link w:val="EndnoteTextChar"/>
    <w:uiPriority w:val="99"/>
    <w:semiHidden/>
    <w:unhideWhenUsed/>
    <w:rsid w:val="00925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988"/>
    <w:rPr>
      <w:sz w:val="20"/>
      <w:szCs w:val="20"/>
    </w:rPr>
  </w:style>
  <w:style w:type="character" w:styleId="EndnoteReference">
    <w:name w:val="endnote reference"/>
    <w:basedOn w:val="DefaultParagraphFont"/>
    <w:uiPriority w:val="99"/>
    <w:semiHidden/>
    <w:unhideWhenUsed/>
    <w:rsid w:val="00925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871">
      <w:bodyDiv w:val="1"/>
      <w:marLeft w:val="0"/>
      <w:marRight w:val="0"/>
      <w:marTop w:val="0"/>
      <w:marBottom w:val="0"/>
      <w:divBdr>
        <w:top w:val="none" w:sz="0" w:space="0" w:color="auto"/>
        <w:left w:val="none" w:sz="0" w:space="0" w:color="auto"/>
        <w:bottom w:val="none" w:sz="0" w:space="0" w:color="auto"/>
        <w:right w:val="none" w:sz="0" w:space="0" w:color="auto"/>
      </w:divBdr>
    </w:div>
    <w:div w:id="97601606">
      <w:bodyDiv w:val="1"/>
      <w:marLeft w:val="0"/>
      <w:marRight w:val="0"/>
      <w:marTop w:val="0"/>
      <w:marBottom w:val="0"/>
      <w:divBdr>
        <w:top w:val="none" w:sz="0" w:space="0" w:color="auto"/>
        <w:left w:val="none" w:sz="0" w:space="0" w:color="auto"/>
        <w:bottom w:val="none" w:sz="0" w:space="0" w:color="auto"/>
        <w:right w:val="none" w:sz="0" w:space="0" w:color="auto"/>
      </w:divBdr>
    </w:div>
    <w:div w:id="12917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383BD.B8C62F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ictims.ca.gov/docs/reports/AnnualReport-FY-17-18.pdf" TargetMode="External"/><Relationship Id="rId2" Type="http://schemas.openxmlformats.org/officeDocument/2006/relationships/hyperlink" Target="https://victims.ca.gov/docs/reports/AnnualReport-FY-17-18.pdf" TargetMode="External"/><Relationship Id="rId1" Type="http://schemas.openxmlformats.org/officeDocument/2006/relationships/hyperlink" Target="https://victims.ca.gov/docs/reports/AnnualReport-FY-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C71-E131-4E2E-B77D-43B30545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2019-03-25T23:59:00Z</dcterms:created>
  <dcterms:modified xsi:type="dcterms:W3CDTF">2019-03-25T23:59:00Z</dcterms:modified>
</cp:coreProperties>
</file>